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BC021" w14:textId="34226991" w:rsidR="00934F3C" w:rsidRDefault="00FD2C45" w:rsidP="00934F3C">
      <w:pPr>
        <w:bidi w:val="0"/>
        <w:spacing w:before="120" w:after="0" w:line="240" w:lineRule="auto"/>
        <w:jc w:val="center"/>
        <w:rPr>
          <w:rFonts w:ascii="Monotype Corsiva" w:hAnsi="Monotype Corsiva"/>
          <w:b/>
          <w:bCs/>
          <w:i/>
          <w:iCs/>
          <w:sz w:val="36"/>
          <w:szCs w:val="36"/>
          <w:rtl/>
        </w:rPr>
      </w:pPr>
      <w:bookmarkStart w:id="0" w:name="_Hlk161824582"/>
      <w:bookmarkStart w:id="1" w:name="_Hlk161824741"/>
      <w:r w:rsidRPr="0053028A">
        <w:rPr>
          <w:rFonts w:asciiTheme="majorBidi" w:hAnsiTheme="majorBidi" w:cstheme="majorBidi"/>
          <w:b/>
          <w:bCs/>
          <w:noProof/>
          <w:sz w:val="26"/>
          <w:szCs w:val="26"/>
        </w:rPr>
        <w:t xml:space="preserve">Role of </w:t>
      </w:r>
      <w:bookmarkStart w:id="2" w:name="_Hlk194975265"/>
      <w:bookmarkStart w:id="3" w:name="_Hlk161823268"/>
      <w:bookmarkStart w:id="4" w:name="_Hlk161824619"/>
      <w:bookmarkEnd w:id="0"/>
      <w:r w:rsidR="00934F3C" w:rsidRPr="00934F3C">
        <w:rPr>
          <w:rFonts w:asciiTheme="majorBidi" w:hAnsiTheme="majorBidi" w:cstheme="majorBidi"/>
          <w:b/>
          <w:bCs/>
          <w:noProof/>
          <w:sz w:val="26"/>
          <w:szCs w:val="26"/>
        </w:rPr>
        <w:t>thymosin beta</w:t>
      </w:r>
      <w:r w:rsidR="00114695">
        <w:rPr>
          <w:rFonts w:asciiTheme="majorBidi" w:hAnsiTheme="majorBidi" w:cstheme="majorBidi"/>
          <w:b/>
          <w:bCs/>
          <w:noProof/>
          <w:sz w:val="26"/>
          <w:szCs w:val="26"/>
        </w:rPr>
        <w:t>4</w:t>
      </w:r>
      <w:r w:rsidR="00934F3C" w:rsidRPr="00934F3C">
        <w:rPr>
          <w:rFonts w:asciiTheme="majorBidi" w:hAnsiTheme="majorBidi" w:cstheme="majorBidi"/>
          <w:b/>
          <w:bCs/>
          <w:noProof/>
          <w:sz w:val="26"/>
          <w:szCs w:val="26"/>
        </w:rPr>
        <w:t xml:space="preserve"> </w:t>
      </w:r>
      <w:bookmarkEnd w:id="2"/>
      <w:r w:rsidR="00934F3C">
        <w:rPr>
          <w:rFonts w:asciiTheme="majorBidi" w:hAnsiTheme="majorBidi" w:cstheme="majorBidi"/>
          <w:b/>
          <w:bCs/>
          <w:noProof/>
          <w:sz w:val="26"/>
          <w:szCs w:val="26"/>
        </w:rPr>
        <w:t>as anti ferroptotic</w:t>
      </w:r>
      <w:r w:rsidR="00934F3C">
        <w:rPr>
          <w:rFonts w:asciiTheme="majorBidi" w:hAnsiTheme="majorBidi" w:cstheme="majorBidi" w:hint="cs"/>
          <w:b/>
          <w:bCs/>
          <w:noProof/>
          <w:sz w:val="26"/>
          <w:szCs w:val="26"/>
          <w:rtl/>
        </w:rPr>
        <w:t xml:space="preserve"> </w:t>
      </w:r>
      <w:r w:rsidR="00934F3C">
        <w:rPr>
          <w:rFonts w:asciiTheme="majorBidi" w:hAnsiTheme="majorBidi" w:cstheme="majorBidi"/>
          <w:b/>
          <w:bCs/>
          <w:noProof/>
          <w:sz w:val="26"/>
          <w:szCs w:val="26"/>
        </w:rPr>
        <w:t xml:space="preserve">gene </w:t>
      </w:r>
      <w:r w:rsidR="00934F3C" w:rsidRPr="00934F3C">
        <w:rPr>
          <w:rFonts w:asciiTheme="majorBidi" w:hAnsiTheme="majorBidi" w:cstheme="majorBidi"/>
          <w:b/>
          <w:bCs/>
          <w:noProof/>
          <w:sz w:val="26"/>
          <w:szCs w:val="26"/>
        </w:rPr>
        <w:t>in coronary atherosclerosis</w:t>
      </w:r>
      <w:r w:rsidR="00934F3C" w:rsidRPr="00D44676">
        <w:rPr>
          <w:rFonts w:ascii="Monotype Corsiva" w:hAnsi="Monotype Corsiva"/>
          <w:b/>
          <w:bCs/>
          <w:i/>
          <w:iCs/>
          <w:sz w:val="36"/>
          <w:szCs w:val="36"/>
        </w:rPr>
        <w:t xml:space="preserve"> </w:t>
      </w:r>
    </w:p>
    <w:p w14:paraId="61E507FE" w14:textId="3ED9B1D6" w:rsidR="001A5200" w:rsidRDefault="0053028A" w:rsidP="003B53B9">
      <w:pPr>
        <w:bidi w:val="0"/>
        <w:spacing w:before="120" w:after="0" w:line="240" w:lineRule="auto"/>
        <w:jc w:val="center"/>
        <w:rPr>
          <w:rFonts w:asciiTheme="majorBidi" w:hAnsiTheme="majorBidi" w:cstheme="majorBidi"/>
          <w:b/>
          <w:bCs/>
          <w:noProof/>
          <w:sz w:val="20"/>
          <w:szCs w:val="20"/>
          <w:rtl/>
        </w:rPr>
      </w:pPr>
      <w:r w:rsidRPr="0053028A">
        <w:rPr>
          <w:rFonts w:asciiTheme="majorBidi" w:hAnsiTheme="majorBidi" w:cstheme="majorBidi"/>
          <w:b/>
          <w:bCs/>
          <w:noProof/>
          <w:sz w:val="20"/>
          <w:szCs w:val="20"/>
          <w:vertAlign w:val="superscript"/>
        </w:rPr>
        <w:t>1</w:t>
      </w:r>
      <w:r w:rsidR="00934F3C">
        <w:rPr>
          <w:rFonts w:asciiTheme="majorBidi" w:hAnsiTheme="majorBidi" w:cstheme="majorBidi"/>
          <w:b/>
          <w:bCs/>
          <w:noProof/>
          <w:sz w:val="20"/>
          <w:szCs w:val="20"/>
        </w:rPr>
        <w:t>Reem</w:t>
      </w:r>
      <w:r w:rsidR="002A55EF">
        <w:rPr>
          <w:rFonts w:asciiTheme="majorBidi" w:hAnsiTheme="majorBidi" w:cstheme="majorBidi"/>
          <w:b/>
          <w:bCs/>
          <w:noProof/>
          <w:sz w:val="20"/>
          <w:szCs w:val="20"/>
        </w:rPr>
        <w:t xml:space="preserve"> Safwat</w:t>
      </w:r>
      <w:r w:rsidR="001A5200" w:rsidRPr="001A5200">
        <w:rPr>
          <w:rFonts w:asciiTheme="majorBidi" w:hAnsiTheme="majorBidi" w:cstheme="majorBidi"/>
          <w:b/>
          <w:bCs/>
          <w:noProof/>
          <w:sz w:val="20"/>
          <w:szCs w:val="20"/>
        </w:rPr>
        <w:t xml:space="preserve"> </w:t>
      </w:r>
      <w:bookmarkEnd w:id="3"/>
      <w:r w:rsidR="00934F3C">
        <w:rPr>
          <w:rFonts w:asciiTheme="majorBidi" w:hAnsiTheme="majorBidi" w:cstheme="majorBidi"/>
          <w:b/>
          <w:bCs/>
          <w:noProof/>
          <w:sz w:val="20"/>
          <w:szCs w:val="20"/>
        </w:rPr>
        <w:t>Mohamed zein</w:t>
      </w:r>
      <w:r w:rsidR="001A5200">
        <w:rPr>
          <w:rFonts w:asciiTheme="majorBidi" w:hAnsiTheme="majorBidi" w:cstheme="majorBidi"/>
          <w:b/>
          <w:bCs/>
          <w:noProof/>
          <w:sz w:val="20"/>
          <w:szCs w:val="20"/>
        </w:rPr>
        <w:t xml:space="preserve">, </w:t>
      </w:r>
      <w:r w:rsidR="00934F3C" w:rsidRPr="0053028A">
        <w:rPr>
          <w:rFonts w:asciiTheme="majorBidi" w:hAnsiTheme="majorBidi" w:cstheme="majorBidi"/>
          <w:b/>
          <w:bCs/>
          <w:noProof/>
          <w:sz w:val="20"/>
          <w:szCs w:val="20"/>
          <w:vertAlign w:val="superscript"/>
        </w:rPr>
        <w:t>1</w:t>
      </w:r>
      <w:r w:rsidR="00225FFA" w:rsidRPr="00225FFA">
        <w:rPr>
          <w:rFonts w:asciiTheme="majorBidi" w:hAnsiTheme="majorBidi" w:cstheme="majorBidi"/>
          <w:b/>
          <w:bCs/>
          <w:noProof/>
          <w:sz w:val="20"/>
          <w:szCs w:val="20"/>
        </w:rPr>
        <w:t>Mahasen Abd Elsattar</w:t>
      </w:r>
      <w:r w:rsidR="001A5200">
        <w:rPr>
          <w:rFonts w:asciiTheme="majorBidi" w:hAnsiTheme="majorBidi" w:cstheme="majorBidi"/>
          <w:b/>
          <w:bCs/>
          <w:noProof/>
          <w:sz w:val="20"/>
          <w:szCs w:val="20"/>
        </w:rPr>
        <w:t xml:space="preserve">, </w:t>
      </w:r>
      <w:r w:rsidR="00934F3C" w:rsidRPr="0053028A">
        <w:rPr>
          <w:rFonts w:asciiTheme="majorBidi" w:hAnsiTheme="majorBidi" w:cstheme="majorBidi"/>
          <w:b/>
          <w:bCs/>
          <w:noProof/>
          <w:sz w:val="20"/>
          <w:szCs w:val="20"/>
          <w:vertAlign w:val="superscript"/>
        </w:rPr>
        <w:t>1</w:t>
      </w:r>
      <w:r w:rsidR="00934F3C" w:rsidRPr="00934F3C">
        <w:rPr>
          <w:rFonts w:asciiTheme="majorBidi" w:hAnsiTheme="majorBidi" w:cstheme="majorBidi"/>
          <w:b/>
          <w:bCs/>
          <w:noProof/>
          <w:sz w:val="20"/>
          <w:szCs w:val="20"/>
        </w:rPr>
        <w:t xml:space="preserve">Shuzan </w:t>
      </w:r>
      <w:r w:rsidR="001121F0">
        <w:rPr>
          <w:rFonts w:asciiTheme="majorBidi" w:hAnsiTheme="majorBidi" w:cstheme="majorBidi"/>
          <w:b/>
          <w:bCs/>
          <w:noProof/>
          <w:sz w:val="20"/>
          <w:szCs w:val="20"/>
        </w:rPr>
        <w:t>Ali</w:t>
      </w:r>
      <w:r w:rsidR="00934F3C" w:rsidRPr="00934F3C">
        <w:rPr>
          <w:rFonts w:asciiTheme="majorBidi" w:hAnsiTheme="majorBidi" w:cstheme="majorBidi"/>
          <w:b/>
          <w:bCs/>
          <w:noProof/>
          <w:sz w:val="20"/>
          <w:szCs w:val="20"/>
        </w:rPr>
        <w:t xml:space="preserve"> Mohammed</w:t>
      </w:r>
      <w:r w:rsidR="001A5200">
        <w:rPr>
          <w:rFonts w:asciiTheme="majorBidi" w:hAnsiTheme="majorBidi" w:cstheme="majorBidi"/>
          <w:b/>
          <w:bCs/>
          <w:noProof/>
          <w:sz w:val="20"/>
          <w:szCs w:val="20"/>
        </w:rPr>
        <w:t xml:space="preserve">, </w:t>
      </w:r>
      <w:r w:rsidR="00934F3C">
        <w:rPr>
          <w:rFonts w:asciiTheme="majorBidi" w:hAnsiTheme="majorBidi" w:cstheme="majorBidi"/>
          <w:b/>
          <w:bCs/>
          <w:noProof/>
          <w:sz w:val="20"/>
          <w:szCs w:val="20"/>
          <w:vertAlign w:val="superscript"/>
        </w:rPr>
        <w:t>2</w:t>
      </w:r>
      <w:r w:rsidR="00934F3C" w:rsidRPr="00934F3C">
        <w:rPr>
          <w:rFonts w:ascii="Monotype Corsiva" w:hAnsi="Monotype Corsiva"/>
          <w:b/>
          <w:bCs/>
          <w:i/>
          <w:iCs/>
          <w:color w:val="FF0000"/>
          <w:sz w:val="44"/>
          <w:szCs w:val="44"/>
        </w:rPr>
        <w:t xml:space="preserve"> </w:t>
      </w:r>
      <w:r w:rsidR="003B53B9" w:rsidRPr="003B53B9">
        <w:rPr>
          <w:rFonts w:asciiTheme="majorBidi" w:hAnsiTheme="majorBidi" w:cstheme="majorBidi"/>
          <w:b/>
          <w:bCs/>
          <w:noProof/>
          <w:sz w:val="20"/>
          <w:szCs w:val="20"/>
        </w:rPr>
        <w:t>Mohamed H Faheem</w:t>
      </w:r>
      <w:r>
        <w:rPr>
          <w:rFonts w:asciiTheme="majorBidi" w:hAnsiTheme="majorBidi" w:cstheme="majorBidi"/>
          <w:b/>
          <w:bCs/>
          <w:noProof/>
          <w:sz w:val="20"/>
          <w:szCs w:val="20"/>
        </w:rPr>
        <w:t xml:space="preserve"> and</w:t>
      </w:r>
      <w:r w:rsidR="001A5200">
        <w:rPr>
          <w:rFonts w:asciiTheme="majorBidi" w:hAnsiTheme="majorBidi" w:cstheme="majorBidi"/>
          <w:b/>
          <w:bCs/>
          <w:noProof/>
          <w:sz w:val="20"/>
          <w:szCs w:val="20"/>
        </w:rPr>
        <w:t xml:space="preserve"> </w:t>
      </w:r>
      <w:bookmarkStart w:id="5" w:name="_Hlk194973397"/>
      <w:r w:rsidRPr="0053028A">
        <w:rPr>
          <w:rFonts w:asciiTheme="majorBidi" w:hAnsiTheme="majorBidi" w:cstheme="majorBidi"/>
          <w:b/>
          <w:bCs/>
          <w:noProof/>
          <w:sz w:val="20"/>
          <w:szCs w:val="20"/>
          <w:vertAlign w:val="superscript"/>
        </w:rPr>
        <w:t>1</w:t>
      </w:r>
      <w:bookmarkEnd w:id="4"/>
      <w:bookmarkEnd w:id="5"/>
      <w:r w:rsidR="00934F3C" w:rsidRPr="00934F3C">
        <w:t xml:space="preserve"> </w:t>
      </w:r>
      <w:r w:rsidR="001A613A" w:rsidRPr="001A613A">
        <w:rPr>
          <w:rFonts w:asciiTheme="majorBidi" w:hAnsiTheme="majorBidi" w:cstheme="majorBidi"/>
          <w:b/>
          <w:bCs/>
          <w:noProof/>
          <w:sz w:val="20"/>
          <w:szCs w:val="20"/>
        </w:rPr>
        <w:t>Yasmin Mohammed Marei</w:t>
      </w:r>
    </w:p>
    <w:p w14:paraId="4C995CC7" w14:textId="2D585CA4" w:rsidR="0053028A" w:rsidRDefault="0053028A" w:rsidP="00505EA3">
      <w:pPr>
        <w:bidi w:val="0"/>
        <w:spacing w:after="0" w:line="240" w:lineRule="auto"/>
        <w:jc w:val="center"/>
        <w:rPr>
          <w:rFonts w:asciiTheme="majorBidi" w:hAnsiTheme="majorBidi" w:cstheme="majorBidi"/>
          <w:noProof/>
          <w:sz w:val="20"/>
          <w:szCs w:val="20"/>
        </w:rPr>
      </w:pPr>
      <w:r w:rsidRPr="0053028A">
        <w:rPr>
          <w:rFonts w:asciiTheme="majorBidi" w:hAnsiTheme="majorBidi" w:cstheme="majorBidi"/>
          <w:noProof/>
          <w:sz w:val="20"/>
          <w:szCs w:val="20"/>
          <w:vertAlign w:val="superscript"/>
        </w:rPr>
        <w:t>1</w:t>
      </w:r>
      <w:r w:rsidRPr="0053028A">
        <w:rPr>
          <w:rFonts w:asciiTheme="majorBidi" w:hAnsiTheme="majorBidi" w:cstheme="majorBidi"/>
          <w:noProof/>
          <w:sz w:val="20"/>
          <w:szCs w:val="20"/>
        </w:rPr>
        <w:t>Medical Biochemistry&amp;Molecular Biology</w:t>
      </w:r>
      <w:r w:rsidRPr="0053028A">
        <w:rPr>
          <w:rFonts w:asciiTheme="majorBidi" w:hAnsiTheme="majorBidi" w:cstheme="majorBidi"/>
          <w:sz w:val="20"/>
          <w:szCs w:val="20"/>
        </w:rPr>
        <w:t xml:space="preserve"> </w:t>
      </w:r>
      <w:r w:rsidRPr="00BB34D2">
        <w:rPr>
          <w:rFonts w:asciiTheme="majorBidi" w:hAnsiTheme="majorBidi" w:cstheme="majorBidi"/>
          <w:sz w:val="20"/>
          <w:szCs w:val="20"/>
        </w:rPr>
        <w:t>Department, Faculty of Medicine, Benha University</w:t>
      </w:r>
    </w:p>
    <w:p w14:paraId="1BEA3B5F" w14:textId="19AD49DC" w:rsidR="0053028A" w:rsidRDefault="0053028A" w:rsidP="00505EA3">
      <w:pPr>
        <w:bidi w:val="0"/>
        <w:spacing w:after="0" w:line="240" w:lineRule="auto"/>
        <w:jc w:val="center"/>
        <w:rPr>
          <w:rFonts w:asciiTheme="majorBidi" w:hAnsiTheme="majorBidi" w:cstheme="majorBidi"/>
          <w:noProof/>
          <w:sz w:val="20"/>
          <w:szCs w:val="20"/>
        </w:rPr>
      </w:pPr>
      <w:bookmarkStart w:id="6" w:name="_Hlk194973358"/>
      <w:r w:rsidRPr="0053028A">
        <w:rPr>
          <w:rFonts w:asciiTheme="majorBidi" w:hAnsiTheme="majorBidi" w:cstheme="majorBidi"/>
          <w:noProof/>
          <w:sz w:val="20"/>
          <w:szCs w:val="20"/>
          <w:vertAlign w:val="superscript"/>
        </w:rPr>
        <w:t>2</w:t>
      </w:r>
      <w:bookmarkEnd w:id="6"/>
      <w:r w:rsidR="00934F3C">
        <w:rPr>
          <w:rFonts w:asciiTheme="majorBidi" w:hAnsiTheme="majorBidi" w:cstheme="majorBidi"/>
          <w:noProof/>
          <w:sz w:val="20"/>
          <w:szCs w:val="20"/>
        </w:rPr>
        <w:t>Radiology</w:t>
      </w:r>
      <w:r w:rsidRPr="0053028A">
        <w:rPr>
          <w:rFonts w:asciiTheme="majorBidi" w:hAnsiTheme="majorBidi" w:cstheme="majorBidi"/>
          <w:sz w:val="20"/>
          <w:szCs w:val="20"/>
        </w:rPr>
        <w:t xml:space="preserve"> </w:t>
      </w:r>
      <w:r w:rsidRPr="00BB34D2">
        <w:rPr>
          <w:rFonts w:asciiTheme="majorBidi" w:hAnsiTheme="majorBidi" w:cstheme="majorBidi"/>
          <w:sz w:val="20"/>
          <w:szCs w:val="20"/>
        </w:rPr>
        <w:t>Department, Faculty of Medicine, Benha University</w:t>
      </w:r>
    </w:p>
    <w:p w14:paraId="0B2CD8C7" w14:textId="3118310A" w:rsidR="0053028A" w:rsidRPr="00965747" w:rsidRDefault="0053028A" w:rsidP="00505EA3">
      <w:pPr>
        <w:bidi w:val="0"/>
        <w:spacing w:after="0" w:line="240" w:lineRule="auto"/>
        <w:jc w:val="center"/>
        <w:rPr>
          <w:rFonts w:asciiTheme="majorBidi" w:hAnsiTheme="majorBidi" w:cstheme="majorBidi"/>
          <w:noProof/>
          <w:sz w:val="20"/>
          <w:szCs w:val="20"/>
        </w:rPr>
      </w:pPr>
      <w:r w:rsidRPr="00965747">
        <w:rPr>
          <w:rFonts w:asciiTheme="majorBidi" w:hAnsiTheme="majorBidi" w:cstheme="majorBidi"/>
          <w:sz w:val="20"/>
          <w:szCs w:val="20"/>
        </w:rPr>
        <w:t>E-Mail:</w:t>
      </w:r>
      <w:r w:rsidRPr="00965747">
        <w:t xml:space="preserve"> </w:t>
      </w:r>
      <w:r w:rsidR="00934F3C" w:rsidRPr="00965747">
        <w:rPr>
          <w:rFonts w:asciiTheme="majorBidi" w:hAnsiTheme="majorBidi" w:cstheme="majorBidi"/>
          <w:noProof/>
          <w:sz w:val="20"/>
          <w:szCs w:val="20"/>
        </w:rPr>
        <w:t>reemsafwat99</w:t>
      </w:r>
      <w:r w:rsidRPr="00965747">
        <w:rPr>
          <w:rFonts w:asciiTheme="majorBidi" w:hAnsiTheme="majorBidi" w:cstheme="majorBidi"/>
          <w:noProof/>
          <w:sz w:val="20"/>
          <w:szCs w:val="20"/>
        </w:rPr>
        <w:t>@gmail.com</w:t>
      </w:r>
      <w:r w:rsidRPr="00965747">
        <w:rPr>
          <w:rFonts w:asciiTheme="majorBidi" w:hAnsiTheme="majorBidi" w:cstheme="majorBidi"/>
          <w:noProof/>
          <w:sz w:val="20"/>
          <w:szCs w:val="20"/>
        </w:rPr>
        <w:tab/>
      </w:r>
    </w:p>
    <w:bookmarkEnd w:id="1"/>
    <w:p w14:paraId="60A75F3C" w14:textId="2D83F249" w:rsidR="003A493E" w:rsidRPr="001A5200" w:rsidRDefault="003A493E" w:rsidP="00505EA3">
      <w:pPr>
        <w:autoSpaceDE w:val="0"/>
        <w:autoSpaceDN w:val="0"/>
        <w:bidi w:val="0"/>
        <w:adjustRightInd w:val="0"/>
        <w:spacing w:after="0" w:line="240" w:lineRule="auto"/>
        <w:jc w:val="both"/>
        <w:rPr>
          <w:rFonts w:asciiTheme="majorBidi" w:hAnsiTheme="majorBidi" w:cstheme="majorBidi"/>
          <w:b/>
          <w:bCs/>
          <w:sz w:val="20"/>
          <w:szCs w:val="20"/>
          <w:rtl/>
          <w:lang w:bidi="ar-EG"/>
        </w:rPr>
      </w:pPr>
      <w:r w:rsidRPr="001A5200">
        <w:rPr>
          <w:rFonts w:asciiTheme="majorBidi" w:hAnsiTheme="majorBidi" w:cstheme="majorBidi"/>
          <w:b/>
          <w:bCs/>
          <w:sz w:val="20"/>
          <w:szCs w:val="20"/>
        </w:rPr>
        <w:t>Abstract</w:t>
      </w:r>
    </w:p>
    <w:p w14:paraId="117DE843" w14:textId="18AC4218" w:rsidR="00946D85" w:rsidRPr="00946D85" w:rsidRDefault="00946D85" w:rsidP="00946D85">
      <w:pPr>
        <w:bidi w:val="0"/>
        <w:spacing w:before="120" w:after="120" w:line="240" w:lineRule="auto"/>
        <w:jc w:val="both"/>
        <w:rPr>
          <w:rFonts w:asciiTheme="majorBidi" w:hAnsiTheme="majorBidi" w:cstheme="majorBidi"/>
          <w:sz w:val="20"/>
          <w:szCs w:val="20"/>
        </w:rPr>
      </w:pPr>
      <w:r w:rsidRPr="00946D85">
        <w:rPr>
          <w:rFonts w:asciiTheme="majorBidi" w:hAnsiTheme="majorBidi" w:cstheme="majorBidi"/>
          <w:sz w:val="20"/>
          <w:szCs w:val="20"/>
        </w:rPr>
        <w:t xml:space="preserve">Lipid accumulation, chronic inflammation, and endothelial dysfunction represent key pathological hallmarks of coronary atherosclerosis, a progressive vascular disease and a leading contributor to global cardiovascular morbidity and mortality. Among the emerging molecular mechanisms implicated in atherogenesis, ferroptosis—a distinct, non-apoptotic, iron-dependent form of regulated cell death triggered by lipid peroxidation—has attracted significant research interest due to its potential role in vascular cell injury and plaque </w:t>
      </w:r>
      <w:r w:rsidRPr="00946D85">
        <w:rPr>
          <w:rFonts w:asciiTheme="majorBidi" w:hAnsiTheme="majorBidi" w:cstheme="majorBidi"/>
          <w:sz w:val="20"/>
          <w:szCs w:val="20"/>
        </w:rPr>
        <w:t>instability. Thymosin</w:t>
      </w:r>
      <w:r w:rsidRPr="00946D85">
        <w:rPr>
          <w:rFonts w:asciiTheme="majorBidi" w:hAnsiTheme="majorBidi" w:cstheme="majorBidi"/>
          <w:sz w:val="20"/>
          <w:szCs w:val="20"/>
        </w:rPr>
        <w:t xml:space="preserve"> beta-4 (Tβ4), a highly conserved, multifunctional peptide best known for its actin-sequestering properties, has demonstrated notable cytoprotective, anti-inflammatory, and antioxidant effects in cardiovascular tissues under stress conditions. Despite this, the precise involvement of Tβ4 in modulating ferroptosis within the context of coronary atherosclerosis remains poorly understood and underexplored in current </w:t>
      </w:r>
      <w:r w:rsidRPr="00946D85">
        <w:rPr>
          <w:rFonts w:asciiTheme="majorBidi" w:hAnsiTheme="majorBidi" w:cstheme="majorBidi"/>
          <w:sz w:val="20"/>
          <w:szCs w:val="20"/>
        </w:rPr>
        <w:t>literature. This</w:t>
      </w:r>
      <w:r w:rsidRPr="00946D85">
        <w:rPr>
          <w:rFonts w:asciiTheme="majorBidi" w:hAnsiTheme="majorBidi" w:cstheme="majorBidi"/>
          <w:sz w:val="20"/>
          <w:szCs w:val="20"/>
        </w:rPr>
        <w:t xml:space="preserve"> review aims to explore the putative anti-ferroptotic role of Tβ4 in coronary atherosclerosis and to examine the</w:t>
      </w:r>
      <w:r>
        <w:rPr>
          <w:rFonts w:asciiTheme="majorBidi" w:hAnsiTheme="majorBidi" w:cstheme="majorBidi"/>
          <w:sz w:val="20"/>
          <w:szCs w:val="20"/>
        </w:rPr>
        <w:t xml:space="preserve"> </w:t>
      </w:r>
      <w:r w:rsidRPr="00946D85">
        <w:rPr>
          <w:rFonts w:asciiTheme="majorBidi" w:hAnsiTheme="majorBidi" w:cstheme="majorBidi"/>
          <w:sz w:val="20"/>
          <w:szCs w:val="20"/>
        </w:rPr>
        <w:t>molecular mechanisms through which it may protect vascular cells—such as endothelial cells, smooth muscle cells, and macrophages—from ferroptosis-induced injury. By integrating current evidence on ferroptotic signaling and Tβ4’s regulatory functions, this article highlights the therapeutic potential of targeting Tβ4 as a novel intervention to prevent or mitigate the progression of atherosclerotic cardiovascular disease.</w:t>
      </w:r>
    </w:p>
    <w:p w14:paraId="0A332FFE" w14:textId="1341798D" w:rsidR="002E23B3" w:rsidRDefault="0053028A" w:rsidP="00BB7E7A">
      <w:pPr>
        <w:bidi w:val="0"/>
        <w:spacing w:before="120" w:after="120" w:line="240" w:lineRule="auto"/>
        <w:jc w:val="both"/>
        <w:rPr>
          <w:rFonts w:asciiTheme="majorBidi" w:hAnsiTheme="majorBidi" w:cstheme="majorBidi"/>
          <w:b/>
          <w:bCs/>
          <w:sz w:val="20"/>
          <w:szCs w:val="20"/>
        </w:rPr>
      </w:pPr>
      <w:r w:rsidRPr="0072072B">
        <w:rPr>
          <w:rFonts w:asciiTheme="majorBidi" w:eastAsia="Calibri" w:hAnsiTheme="majorBidi" w:cstheme="majorBidi"/>
          <w:b/>
          <w:bCs/>
          <w:noProof/>
          <w:sz w:val="20"/>
          <w:szCs w:val="20"/>
        </w:rPr>
        <w:t>Keywords</w:t>
      </w:r>
      <w:r w:rsidR="00EB795A" w:rsidRPr="001A5200">
        <w:rPr>
          <w:rFonts w:asciiTheme="majorBidi" w:hAnsiTheme="majorBidi" w:cstheme="majorBidi"/>
          <w:b/>
          <w:bCs/>
          <w:sz w:val="20"/>
          <w:szCs w:val="20"/>
        </w:rPr>
        <w:t xml:space="preserve">: </w:t>
      </w:r>
      <w:r w:rsidR="00BB7E7A" w:rsidRPr="00BB7E7A">
        <w:rPr>
          <w:rFonts w:asciiTheme="majorBidi" w:hAnsiTheme="majorBidi" w:cstheme="majorBidi"/>
          <w:sz w:val="20"/>
          <w:szCs w:val="20"/>
        </w:rPr>
        <w:t xml:space="preserve">Coronary </w:t>
      </w:r>
      <w:r w:rsidR="00946D85" w:rsidRPr="00BB7E7A">
        <w:rPr>
          <w:rFonts w:asciiTheme="majorBidi" w:hAnsiTheme="majorBidi" w:cstheme="majorBidi"/>
          <w:sz w:val="20"/>
          <w:szCs w:val="20"/>
        </w:rPr>
        <w:t>atherosclerosis</w:t>
      </w:r>
      <w:r w:rsidR="00946D85">
        <w:rPr>
          <w:rFonts w:asciiTheme="majorBidi" w:hAnsiTheme="majorBidi" w:cstheme="majorBidi"/>
          <w:sz w:val="20"/>
          <w:szCs w:val="20"/>
        </w:rPr>
        <w:t>, ferroptosis and</w:t>
      </w:r>
      <w:r w:rsidR="002A55EF">
        <w:rPr>
          <w:rFonts w:asciiTheme="majorBidi" w:hAnsiTheme="majorBidi" w:cstheme="majorBidi"/>
          <w:sz w:val="20"/>
          <w:szCs w:val="20"/>
        </w:rPr>
        <w:t xml:space="preserve"> </w:t>
      </w:r>
      <w:r w:rsidR="00BB7E7A" w:rsidRPr="00BB7E7A">
        <w:rPr>
          <w:rFonts w:asciiTheme="majorBidi" w:hAnsiTheme="majorBidi" w:cstheme="majorBidi"/>
          <w:sz w:val="20"/>
          <w:szCs w:val="20"/>
        </w:rPr>
        <w:t>thymosin beta4</w:t>
      </w:r>
      <w:r w:rsidR="001A5200" w:rsidRPr="00D65590">
        <w:rPr>
          <w:rFonts w:asciiTheme="majorBidi" w:hAnsiTheme="majorBidi" w:cstheme="majorBidi"/>
          <w:sz w:val="20"/>
          <w:szCs w:val="20"/>
        </w:rPr>
        <w:t>.</w:t>
      </w:r>
    </w:p>
    <w:p w14:paraId="502B3BAF" w14:textId="58449E69" w:rsidR="001A5200" w:rsidRPr="001A5200" w:rsidRDefault="001A5200" w:rsidP="00505EA3">
      <w:pPr>
        <w:bidi w:val="0"/>
        <w:spacing w:after="0" w:line="240" w:lineRule="auto"/>
        <w:jc w:val="both"/>
        <w:rPr>
          <w:rFonts w:asciiTheme="majorBidi" w:eastAsia="Calibri" w:hAnsiTheme="majorBidi" w:cstheme="majorBidi"/>
          <w:b/>
          <w:bCs/>
          <w:sz w:val="20"/>
          <w:szCs w:val="20"/>
        </w:rPr>
        <w:sectPr w:rsidR="001A5200" w:rsidRPr="001A5200" w:rsidSect="00B83D64">
          <w:headerReference w:type="even" r:id="rId8"/>
          <w:headerReference w:type="default" r:id="rId9"/>
          <w:footerReference w:type="even" r:id="rId10"/>
          <w:footerReference w:type="default" r:id="rId11"/>
          <w:headerReference w:type="first" r:id="rId12"/>
          <w:footerReference w:type="first" r:id="rId13"/>
          <w:pgSz w:w="11909" w:h="16834" w:code="9"/>
          <w:pgMar w:top="1440" w:right="929" w:bottom="1440" w:left="1080" w:header="720" w:footer="720" w:gutter="0"/>
          <w:cols w:space="720"/>
          <w:titlePg/>
          <w:docGrid w:linePitch="360"/>
        </w:sectPr>
      </w:pPr>
    </w:p>
    <w:p w14:paraId="2B93215E" w14:textId="1AE95772" w:rsidR="003E6125" w:rsidRPr="001A5200" w:rsidRDefault="008A22B5" w:rsidP="00505EA3">
      <w:pPr>
        <w:bidi w:val="0"/>
        <w:spacing w:after="0" w:line="240" w:lineRule="auto"/>
        <w:jc w:val="both"/>
        <w:rPr>
          <w:rFonts w:asciiTheme="majorBidi" w:eastAsia="Calibri" w:hAnsiTheme="majorBidi" w:cstheme="majorBidi"/>
          <w:b/>
          <w:bCs/>
          <w:sz w:val="20"/>
          <w:szCs w:val="20"/>
        </w:rPr>
      </w:pPr>
      <w:r w:rsidRPr="001A5200">
        <w:rPr>
          <w:rFonts w:asciiTheme="majorBidi" w:eastAsia="Calibri" w:hAnsiTheme="majorBidi" w:cstheme="majorBidi"/>
          <w:b/>
          <w:bCs/>
          <w:sz w:val="20"/>
          <w:szCs w:val="20"/>
        </w:rPr>
        <w:t>1.</w:t>
      </w:r>
      <w:r w:rsidR="003E6125" w:rsidRPr="001A5200">
        <w:rPr>
          <w:rFonts w:asciiTheme="majorBidi" w:eastAsia="Calibri" w:hAnsiTheme="majorBidi" w:cstheme="majorBidi"/>
          <w:b/>
          <w:bCs/>
          <w:sz w:val="20"/>
          <w:szCs w:val="20"/>
        </w:rPr>
        <w:t>Introduction</w:t>
      </w:r>
    </w:p>
    <w:p w14:paraId="189046C0" w14:textId="0B5FDE37" w:rsidR="00934F3C" w:rsidRPr="00934F3C" w:rsidRDefault="00800868" w:rsidP="00934F3C">
      <w:pPr>
        <w:bidi w:val="0"/>
        <w:spacing w:after="0" w:line="240" w:lineRule="auto"/>
        <w:ind w:firstLine="360"/>
        <w:jc w:val="both"/>
        <w:rPr>
          <w:rFonts w:asciiTheme="majorBidi" w:hAnsiTheme="majorBidi" w:cstheme="majorBidi"/>
          <w:sz w:val="20"/>
          <w:szCs w:val="20"/>
        </w:rPr>
      </w:pPr>
      <w:r w:rsidRPr="00800868">
        <w:rPr>
          <w:rFonts w:asciiTheme="majorBidi" w:hAnsiTheme="majorBidi" w:cstheme="majorBidi"/>
          <w:sz w:val="20"/>
          <w:szCs w:val="20"/>
        </w:rPr>
        <w:t>As the leading killer worldwide, coronary artery disease (CAD) has far-reaching monetary and health-related consequences</w:t>
      </w:r>
      <w:r>
        <w:rPr>
          <w:rFonts w:asciiTheme="majorBidi" w:hAnsiTheme="majorBidi" w:cstheme="majorBidi"/>
          <w:sz w:val="20"/>
          <w:szCs w:val="20"/>
        </w:rPr>
        <w:t xml:space="preserve"> </w:t>
      </w:r>
      <w:r w:rsidR="00934F3C" w:rsidRPr="00934F3C">
        <w:rPr>
          <w:rFonts w:asciiTheme="majorBidi" w:hAnsiTheme="majorBidi" w:cstheme="majorBidi"/>
          <w:sz w:val="20"/>
          <w:szCs w:val="20"/>
        </w:rPr>
        <w:fldChar w:fldCharType="begin"/>
      </w:r>
      <w:r w:rsidR="00934F3C" w:rsidRPr="00934F3C">
        <w:rPr>
          <w:rFonts w:asciiTheme="majorBidi" w:hAnsiTheme="majorBidi" w:cstheme="majorBidi"/>
          <w:sz w:val="20"/>
          <w:szCs w:val="20"/>
        </w:rPr>
        <w:instrText xml:space="preserve"> ADDIN EN.CITE &lt;EndNote&gt;&lt;Cite&gt;&lt;Author&gt;Xu&lt;/Author&gt;&lt;Year&gt;2019&lt;/Year&gt;&lt;RecNum&gt;2&lt;/RecNum&gt;&lt;DisplayText&gt;(Xu et al., 2019)&lt;/DisplayText&gt;&lt;record&gt;&lt;rec-number&gt;2&lt;/rec-number&gt;&lt;foreign-keys&gt;&lt;key app="EN" db-id="vvw0pt9sbfwefoevvdhppr9g0frts9x55zsf" timestamp="1674758370"&gt;2&lt;/key&gt;&lt;/foreign-keys&gt;&lt;ref-type name="Journal Article"&gt;17&lt;/ref-type&gt;&lt;contributors&gt;&lt;authors&gt;&lt;author&gt;Xu, Suowen&lt;/author&gt;&lt;author&gt;Xu, Yanni&lt;/author&gt;&lt;author&gt;Liu, Peng&lt;/author&gt;&lt;author&gt;Zhang, Shuya&lt;/author&gt;&lt;author&gt;Liu, Huan&lt;/author&gt;&lt;author&gt;Slavin, Spencer&lt;/author&gt;&lt;author&gt;Kumar, Sandeep&lt;/author&gt;&lt;author&gt;Koroleva, Marina&lt;/author&gt;&lt;author&gt;Luo, Jinque&lt;/author&gt;&lt;author&gt;Wu, Xiaoqian %J European heart journal&lt;/author&gt;&lt;/authors&gt;&lt;/contributors&gt;&lt;titles&gt;&lt;title&gt;The novel coronary artery disease risk gene JCAD/KIAA1462 promotes endothelial dysfunction and atherosclerosis&lt;/title&gt;&lt;/titles&gt;&lt;pages&gt;2398-2408&lt;/pages&gt;&lt;volume&gt;40&lt;/volume&gt;&lt;number&gt;29&lt;/number&gt;&lt;dates&gt;&lt;year&gt;2019&lt;/year&gt;&lt;/dates&gt;&lt;isbn&gt;0195-668X&lt;/isbn&gt;&lt;urls&gt;&lt;/urls&gt;&lt;/record&gt;&lt;/Cite&gt;&lt;/EndNote&gt;</w:instrText>
      </w:r>
      <w:r w:rsidR="00934F3C" w:rsidRPr="00934F3C">
        <w:rPr>
          <w:rFonts w:asciiTheme="majorBidi" w:hAnsiTheme="majorBidi" w:cstheme="majorBidi"/>
          <w:sz w:val="20"/>
          <w:szCs w:val="20"/>
        </w:rPr>
        <w:fldChar w:fldCharType="separate"/>
      </w:r>
      <w:r w:rsidR="00934F3C" w:rsidRPr="00934F3C">
        <w:rPr>
          <w:rFonts w:asciiTheme="majorBidi" w:hAnsiTheme="majorBidi" w:cstheme="majorBidi"/>
          <w:sz w:val="20"/>
          <w:szCs w:val="20"/>
        </w:rPr>
        <w:t>(</w:t>
      </w:r>
      <w:r w:rsidR="00934F3C">
        <w:rPr>
          <w:rFonts w:asciiTheme="majorBidi" w:hAnsiTheme="majorBidi" w:cstheme="majorBidi"/>
          <w:sz w:val="20"/>
          <w:szCs w:val="20"/>
        </w:rPr>
        <w:t>1</w:t>
      </w:r>
      <w:r w:rsidR="00934F3C" w:rsidRPr="00934F3C">
        <w:rPr>
          <w:rFonts w:asciiTheme="majorBidi" w:hAnsiTheme="majorBidi" w:cstheme="majorBidi"/>
          <w:sz w:val="20"/>
          <w:szCs w:val="20"/>
        </w:rPr>
        <w:t>)</w:t>
      </w:r>
      <w:r w:rsidR="00934F3C" w:rsidRPr="00934F3C">
        <w:rPr>
          <w:rFonts w:asciiTheme="majorBidi" w:hAnsiTheme="majorBidi" w:cstheme="majorBidi"/>
          <w:sz w:val="20"/>
          <w:szCs w:val="20"/>
        </w:rPr>
        <w:fldChar w:fldCharType="end"/>
      </w:r>
      <w:r w:rsidR="00934F3C" w:rsidRPr="00934F3C">
        <w:rPr>
          <w:rFonts w:asciiTheme="majorBidi" w:hAnsiTheme="majorBidi" w:cstheme="majorBidi"/>
          <w:sz w:val="20"/>
          <w:szCs w:val="20"/>
        </w:rPr>
        <w:t xml:space="preserve">. </w:t>
      </w:r>
      <w:r w:rsidR="006F5947" w:rsidRPr="006F5947">
        <w:rPr>
          <w:rFonts w:asciiTheme="majorBidi" w:hAnsiTheme="majorBidi" w:cstheme="majorBidi"/>
          <w:sz w:val="20"/>
          <w:szCs w:val="20"/>
        </w:rPr>
        <w:t>Several cell types and systems are affected by the complex disease of CAD; risk factors include an unhealthy diet, insufficient physical activity, smoking, environmental factors, and genetics</w:t>
      </w:r>
      <w:r w:rsidR="006F5947">
        <w:rPr>
          <w:rFonts w:asciiTheme="majorBidi" w:hAnsiTheme="majorBidi" w:cstheme="majorBidi" w:hint="cs"/>
          <w:sz w:val="20"/>
          <w:szCs w:val="20"/>
          <w:rtl/>
        </w:rPr>
        <w:t xml:space="preserve"> </w:t>
      </w:r>
      <w:r w:rsidR="00934F3C">
        <w:rPr>
          <w:rFonts w:asciiTheme="majorBidi" w:hAnsiTheme="majorBidi" w:cstheme="majorBidi"/>
          <w:sz w:val="20"/>
          <w:szCs w:val="20"/>
        </w:rPr>
        <w:t>(</w:t>
      </w:r>
      <w:r w:rsidR="00934F3C" w:rsidRPr="00934F3C">
        <w:rPr>
          <w:rFonts w:asciiTheme="majorBidi" w:hAnsiTheme="majorBidi" w:cstheme="majorBidi"/>
          <w:sz w:val="20"/>
          <w:szCs w:val="20"/>
        </w:rPr>
        <w:fldChar w:fldCharType="begin"/>
      </w:r>
      <w:r w:rsidR="00934F3C" w:rsidRPr="00934F3C">
        <w:rPr>
          <w:rFonts w:asciiTheme="majorBidi" w:hAnsiTheme="majorBidi" w:cstheme="majorBidi"/>
          <w:sz w:val="20"/>
          <w:szCs w:val="20"/>
        </w:rPr>
        <w:instrText xml:space="preserve"> ADDIN EN.CITE &lt;EndNote&gt;&lt;Cite&gt;&lt;Author&gt;Xu&lt;/Author&gt;&lt;Year&gt;2019&lt;/Year&gt;&lt;RecNum&gt;2&lt;/RecNum&gt;&lt;DisplayText&gt;(Xu et al., 2019)&lt;/DisplayText&gt;&lt;record&gt;&lt;rec-number&gt;2&lt;/rec-number&gt;&lt;foreign-keys&gt;&lt;key app="EN" db-id="vvw0pt9sbfwefoevvdhppr9g0frts9x55zsf" timestamp="1674758370"&gt;2&lt;/key&gt;&lt;/foreign-keys&gt;&lt;ref-type name="Journal Article"&gt;17&lt;/ref-type&gt;&lt;contributors&gt;&lt;authors&gt;&lt;author&gt;Xu, Suowen&lt;/author&gt;&lt;author&gt;Xu, Yanni&lt;/author&gt;&lt;author&gt;Liu, Peng&lt;/author&gt;&lt;author&gt;Zhang, Shuya&lt;/author&gt;&lt;author&gt;Liu, Huan&lt;/author&gt;&lt;author&gt;Slavin, Spencer&lt;/author&gt;&lt;author&gt;Kumar, Sandeep&lt;/author&gt;&lt;author&gt;Koroleva, Marina&lt;/author&gt;&lt;author&gt;Luo, Jinque&lt;/author&gt;&lt;author&gt;Wu, Xiaoqian %J European heart journal&lt;/author&gt;&lt;/authors&gt;&lt;/contributors&gt;&lt;titles&gt;&lt;title&gt;The novel coronary artery disease risk gene JCAD/KIAA1462 promotes endothelial dysfunction and atherosclerosis&lt;/title&gt;&lt;/titles&gt;&lt;pages&gt;2398-2408&lt;/pages&gt;&lt;volume&gt;40&lt;/volume&gt;&lt;number&gt;29&lt;/number&gt;&lt;dates&gt;&lt;year&gt;2019&lt;/year&gt;&lt;/dates&gt;&lt;isbn&gt;0195-668X&lt;/isbn&gt;&lt;urls&gt;&lt;/urls&gt;&lt;/record&gt;&lt;/Cite&gt;&lt;/EndNote&gt;</w:instrText>
      </w:r>
      <w:r w:rsidR="00934F3C" w:rsidRPr="00934F3C">
        <w:rPr>
          <w:rFonts w:asciiTheme="majorBidi" w:hAnsiTheme="majorBidi" w:cstheme="majorBidi"/>
          <w:sz w:val="20"/>
          <w:szCs w:val="20"/>
        </w:rPr>
        <w:fldChar w:fldCharType="separate"/>
      </w:r>
      <w:r w:rsidR="00934F3C">
        <w:rPr>
          <w:rFonts w:asciiTheme="majorBidi" w:hAnsiTheme="majorBidi" w:cstheme="majorBidi"/>
          <w:sz w:val="20"/>
          <w:szCs w:val="20"/>
        </w:rPr>
        <w:t>2</w:t>
      </w:r>
      <w:r w:rsidR="00934F3C" w:rsidRPr="00934F3C">
        <w:rPr>
          <w:rFonts w:asciiTheme="majorBidi" w:hAnsiTheme="majorBidi" w:cstheme="majorBidi"/>
          <w:sz w:val="20"/>
          <w:szCs w:val="20"/>
        </w:rPr>
        <w:t>)</w:t>
      </w:r>
      <w:r w:rsidR="00934F3C" w:rsidRPr="00934F3C">
        <w:rPr>
          <w:rFonts w:asciiTheme="majorBidi" w:hAnsiTheme="majorBidi" w:cstheme="majorBidi"/>
          <w:sz w:val="20"/>
          <w:szCs w:val="20"/>
        </w:rPr>
        <w:fldChar w:fldCharType="end"/>
      </w:r>
      <w:r w:rsidR="00934F3C" w:rsidRPr="00934F3C">
        <w:rPr>
          <w:rFonts w:asciiTheme="majorBidi" w:hAnsiTheme="majorBidi" w:cstheme="majorBidi"/>
          <w:sz w:val="20"/>
          <w:szCs w:val="20"/>
        </w:rPr>
        <w:t>.</w:t>
      </w:r>
    </w:p>
    <w:p w14:paraId="71F70066" w14:textId="1A077457" w:rsidR="00934F3C" w:rsidRPr="00934F3C" w:rsidRDefault="00576814" w:rsidP="00934F3C">
      <w:pPr>
        <w:bidi w:val="0"/>
        <w:spacing w:after="0" w:line="240" w:lineRule="auto"/>
        <w:ind w:firstLine="360"/>
        <w:jc w:val="both"/>
        <w:rPr>
          <w:rFonts w:asciiTheme="majorBidi" w:hAnsiTheme="majorBidi" w:cstheme="majorBidi"/>
          <w:sz w:val="20"/>
          <w:szCs w:val="20"/>
        </w:rPr>
      </w:pPr>
      <w:r w:rsidRPr="00576814">
        <w:rPr>
          <w:rFonts w:asciiTheme="majorBidi" w:hAnsiTheme="majorBidi" w:cstheme="majorBidi"/>
          <w:sz w:val="20"/>
          <w:szCs w:val="20"/>
        </w:rPr>
        <w:t>CAD is a condition in which atherosclerotic lesions in the coronary artery constrict or obstruct the lumen, therefore causing myocardial ischemia, oxygen deprivation and necrosis</w:t>
      </w:r>
      <w:r>
        <w:rPr>
          <w:rFonts w:asciiTheme="majorBidi" w:hAnsiTheme="majorBidi" w:cstheme="majorBidi"/>
          <w:sz w:val="20"/>
          <w:szCs w:val="20"/>
        </w:rPr>
        <w:t xml:space="preserve"> </w:t>
      </w:r>
      <w:r w:rsidR="00934F3C" w:rsidRPr="00934F3C">
        <w:rPr>
          <w:rFonts w:asciiTheme="majorBidi" w:hAnsiTheme="majorBidi" w:cstheme="majorBidi"/>
          <w:sz w:val="20"/>
          <w:szCs w:val="20"/>
        </w:rPr>
        <w:fldChar w:fldCharType="begin"/>
      </w:r>
      <w:r w:rsidR="00934F3C" w:rsidRPr="00934F3C">
        <w:rPr>
          <w:rFonts w:asciiTheme="majorBidi" w:hAnsiTheme="majorBidi" w:cstheme="majorBidi"/>
          <w:sz w:val="20"/>
          <w:szCs w:val="20"/>
        </w:rPr>
        <w:instrText xml:space="preserve"> ADDIN EN.CITE &lt;EndNote&gt;&lt;Cite&gt;&lt;Author&gt;Wu&lt;/Author&gt;&lt;Year&gt;2022&lt;/Year&gt;&lt;RecNum&gt;3&lt;/RecNum&gt;&lt;DisplayText&gt;(X. Wu et al., 2022)&lt;/DisplayText&gt;&lt;record&gt;&lt;rec-number&gt;3&lt;/rec-number&gt;&lt;foreign-keys&gt;&lt;key app="EN" db-id="vvw0pt9sbfwefoevvdhppr9g0frts9x55zsf" timestamp="1674759156"&gt;3&lt;/key&gt;&lt;/foreign-keys&gt;&lt;ref-type name="Journal Article"&gt;17&lt;/ref-type&gt;&lt;contributors&gt;&lt;authors&gt;&lt;author&gt;Wu, Xun&lt;/author&gt;&lt;author&gt;Qin, Kele&lt;/author&gt;&lt;author&gt;Iroegbu, Chukwuemeka Daniel&lt;/author&gt;&lt;author&gt;Xiang, Kun&lt;/author&gt;&lt;author&gt;Peng, Jun&lt;/author&gt;&lt;author&gt;Guo, Jianjun&lt;/author&gt;&lt;author&gt;Yang, Jinfu&lt;/author&gt;&lt;author&gt;Fan, Chengming %J Journal of Cellular&lt;/author&gt;&lt;author&gt;Molecular Medicine&lt;/author&gt;&lt;/authors&gt;&lt;/contributors&gt;&lt;titles&gt;&lt;title&gt;Genetic analysis of potential biomarkers and therapeutic targets in ferroptosis from coronary artery disease&lt;/title&gt;&lt;/titles&gt;&lt;pages&gt;2177-2190&lt;/pages&gt;&lt;volume&gt;26&lt;/volume&gt;&lt;number&gt;8&lt;/number&gt;&lt;dates&gt;&lt;year&gt;2022&lt;/year&gt;&lt;/dates&gt;&lt;isbn&gt;1582-1838&lt;/isbn&gt;&lt;urls&gt;&lt;/urls&gt;&lt;/record&gt;&lt;/Cite&gt;&lt;/EndNote&gt;</w:instrText>
      </w:r>
      <w:r w:rsidR="00934F3C" w:rsidRPr="00934F3C">
        <w:rPr>
          <w:rFonts w:asciiTheme="majorBidi" w:hAnsiTheme="majorBidi" w:cstheme="majorBidi"/>
          <w:sz w:val="20"/>
          <w:szCs w:val="20"/>
        </w:rPr>
        <w:fldChar w:fldCharType="separate"/>
      </w:r>
      <w:r w:rsidR="00934F3C" w:rsidRPr="00934F3C">
        <w:rPr>
          <w:rFonts w:asciiTheme="majorBidi" w:hAnsiTheme="majorBidi" w:cstheme="majorBidi"/>
          <w:sz w:val="20"/>
          <w:szCs w:val="20"/>
        </w:rPr>
        <w:t>(</w:t>
      </w:r>
      <w:r w:rsidR="00114695">
        <w:rPr>
          <w:rFonts w:asciiTheme="majorBidi" w:hAnsiTheme="majorBidi" w:cstheme="majorBidi"/>
          <w:sz w:val="20"/>
          <w:szCs w:val="20"/>
        </w:rPr>
        <w:t>2</w:t>
      </w:r>
      <w:r w:rsidR="00934F3C" w:rsidRPr="00934F3C">
        <w:rPr>
          <w:rFonts w:asciiTheme="majorBidi" w:hAnsiTheme="majorBidi" w:cstheme="majorBidi"/>
          <w:sz w:val="20"/>
          <w:szCs w:val="20"/>
        </w:rPr>
        <w:t>)</w:t>
      </w:r>
      <w:r w:rsidR="00934F3C" w:rsidRPr="00934F3C">
        <w:rPr>
          <w:rFonts w:asciiTheme="majorBidi" w:hAnsiTheme="majorBidi" w:cstheme="majorBidi"/>
          <w:sz w:val="20"/>
          <w:szCs w:val="20"/>
        </w:rPr>
        <w:fldChar w:fldCharType="end"/>
      </w:r>
      <w:r w:rsidR="00934F3C" w:rsidRPr="00934F3C">
        <w:rPr>
          <w:rFonts w:asciiTheme="majorBidi" w:hAnsiTheme="majorBidi" w:cstheme="majorBidi"/>
          <w:sz w:val="20"/>
          <w:szCs w:val="20"/>
        </w:rPr>
        <w:t>.</w:t>
      </w:r>
    </w:p>
    <w:p w14:paraId="2BD7424A" w14:textId="6A401A0D" w:rsidR="00934F3C" w:rsidRPr="00934F3C" w:rsidRDefault="00650386" w:rsidP="00650386">
      <w:pPr>
        <w:bidi w:val="0"/>
        <w:spacing w:after="0" w:line="240" w:lineRule="auto"/>
        <w:ind w:firstLine="360"/>
        <w:jc w:val="both"/>
        <w:rPr>
          <w:rFonts w:asciiTheme="majorBidi" w:hAnsiTheme="majorBidi" w:cstheme="majorBidi"/>
          <w:sz w:val="20"/>
          <w:szCs w:val="20"/>
        </w:rPr>
      </w:pPr>
      <w:r w:rsidRPr="00650386">
        <w:rPr>
          <w:rFonts w:asciiTheme="majorBidi" w:hAnsiTheme="majorBidi" w:cstheme="majorBidi"/>
          <w:sz w:val="20"/>
          <w:szCs w:val="20"/>
        </w:rPr>
        <w:t>A unique type of controlled cell death is ferroptosis </w:t>
      </w:r>
      <w:r w:rsidRPr="00650386">
        <w:rPr>
          <w:rFonts w:asciiTheme="majorBidi" w:hAnsiTheme="majorBidi" w:cstheme="majorBidi"/>
          <w:sz w:val="20"/>
          <w:szCs w:val="20"/>
        </w:rPr>
        <w:t xml:space="preserve"> </w:t>
      </w:r>
      <w:r w:rsidR="00934F3C" w:rsidRPr="00934F3C">
        <w:rPr>
          <w:rFonts w:asciiTheme="majorBidi" w:hAnsiTheme="majorBidi" w:cstheme="majorBidi"/>
          <w:sz w:val="20"/>
          <w:szCs w:val="20"/>
        </w:rPr>
        <w:fldChar w:fldCharType="begin"/>
      </w:r>
      <w:r w:rsidR="00934F3C" w:rsidRPr="00934F3C">
        <w:rPr>
          <w:rFonts w:asciiTheme="majorBidi" w:hAnsiTheme="majorBidi" w:cstheme="majorBidi"/>
          <w:sz w:val="20"/>
          <w:szCs w:val="20"/>
        </w:rPr>
        <w:instrText xml:space="preserve"> ADDIN EN.CITE &lt;EndNote&gt;&lt;Cite&gt;&lt;Author&gt;Stockwell&lt;/Author&gt;&lt;Year&gt;2017&lt;/Year&gt;&lt;RecNum&gt;4&lt;/RecNum&gt;&lt;DisplayText&gt;(Stockwell et al., 2017)&lt;/DisplayText&gt;&lt;record&gt;&lt;rec-number&gt;4&lt;/rec-number&gt;&lt;foreign-keys&gt;&lt;key app="EN" db-id="vvw0pt9sbfwefoevvdhppr9g0frts9x55zsf" timestamp="1674759505"&gt;4&lt;/key&gt;&lt;/foreign-keys&gt;&lt;ref-type name="Journal Article"&gt;17&lt;/ref-type&gt;&lt;contributors&gt;&lt;authors&gt;&lt;author&gt;Stockwell, Brent R&lt;/author&gt;&lt;author&gt;Angeli, José Pedro Friedmann&lt;/author&gt;&lt;author&gt;Bayir, Hülya&lt;/author&gt;&lt;author&gt;Bush, Ashley I&lt;/author&gt;&lt;author&gt;Conrad, Marcus&lt;/author&gt;&lt;author&gt;Dixon, Scott J&lt;/author&gt;&lt;author&gt;Fulda, Simone&lt;/author&gt;&lt;author&gt;Gascón, Sergio&lt;/author&gt;&lt;author&gt;Hatzios, Stavroula K&lt;/author&gt;&lt;author&gt;Kagan, Valerian E %J Cell&lt;/author&gt;&lt;/authors&gt;&lt;/contributors&gt;&lt;titles&gt;&lt;title&gt;Ferroptosis: a regulated cell death nexus linking metabolism, redox biology, and disease&lt;/title&gt;&lt;/titles&gt;&lt;pages&gt;273-285&lt;/pages&gt;&lt;volume&gt;171&lt;/volume&gt;&lt;number&gt;2&lt;/number&gt;&lt;dates&gt;&lt;year&gt;2017&lt;/year&gt;&lt;/dates&gt;&lt;isbn&gt;0092-8674&lt;/isbn&gt;&lt;urls&gt;&lt;/urls&gt;&lt;/record&gt;&lt;/Cite&gt;&lt;/EndNote&gt;</w:instrText>
      </w:r>
      <w:r w:rsidR="00934F3C" w:rsidRPr="00934F3C">
        <w:rPr>
          <w:rFonts w:asciiTheme="majorBidi" w:hAnsiTheme="majorBidi" w:cstheme="majorBidi"/>
          <w:sz w:val="20"/>
          <w:szCs w:val="20"/>
        </w:rPr>
        <w:fldChar w:fldCharType="separate"/>
      </w:r>
      <w:r w:rsidR="00934F3C" w:rsidRPr="00934F3C">
        <w:rPr>
          <w:rFonts w:asciiTheme="majorBidi" w:hAnsiTheme="majorBidi" w:cstheme="majorBidi"/>
          <w:sz w:val="20"/>
          <w:szCs w:val="20"/>
        </w:rPr>
        <w:t>(</w:t>
      </w:r>
      <w:r w:rsidR="00114695">
        <w:rPr>
          <w:rFonts w:asciiTheme="majorBidi" w:hAnsiTheme="majorBidi" w:cstheme="majorBidi"/>
          <w:sz w:val="20"/>
          <w:szCs w:val="20"/>
        </w:rPr>
        <w:t>3</w:t>
      </w:r>
      <w:r w:rsidR="00934F3C" w:rsidRPr="00934F3C">
        <w:rPr>
          <w:rFonts w:asciiTheme="majorBidi" w:hAnsiTheme="majorBidi" w:cstheme="majorBidi"/>
          <w:sz w:val="20"/>
          <w:szCs w:val="20"/>
        </w:rPr>
        <w:t>)</w:t>
      </w:r>
      <w:r w:rsidR="00934F3C" w:rsidRPr="00934F3C">
        <w:rPr>
          <w:rFonts w:asciiTheme="majorBidi" w:hAnsiTheme="majorBidi" w:cstheme="majorBidi"/>
          <w:sz w:val="20"/>
          <w:szCs w:val="20"/>
        </w:rPr>
        <w:fldChar w:fldCharType="end"/>
      </w:r>
      <w:r w:rsidR="00934F3C" w:rsidRPr="00934F3C">
        <w:rPr>
          <w:rFonts w:asciiTheme="majorBidi" w:hAnsiTheme="majorBidi" w:cstheme="majorBidi"/>
          <w:sz w:val="20"/>
          <w:szCs w:val="20"/>
        </w:rPr>
        <w:t>.</w:t>
      </w:r>
      <w:r w:rsidR="00576814" w:rsidRPr="00576814">
        <w:t xml:space="preserve"> </w:t>
      </w:r>
      <w:r w:rsidRPr="00650386">
        <w:rPr>
          <w:rFonts w:asciiTheme="majorBidi" w:hAnsiTheme="majorBidi" w:cstheme="majorBidi"/>
          <w:sz w:val="20"/>
          <w:szCs w:val="20"/>
        </w:rPr>
        <w:t xml:space="preserve">The buildup of lipid peroxides brought on by Fe2+-mediated Fenton reactions and reactive oxygen species (ROS) accelerates ferroptosis. </w:t>
      </w:r>
      <w:r w:rsidR="00934F3C" w:rsidRPr="00934F3C">
        <w:rPr>
          <w:rFonts w:asciiTheme="majorBidi" w:hAnsiTheme="majorBidi" w:cstheme="majorBidi"/>
          <w:sz w:val="20"/>
          <w:szCs w:val="20"/>
        </w:rPr>
        <w:fldChar w:fldCharType="begin"/>
      </w:r>
      <w:r w:rsidR="00934F3C" w:rsidRPr="00934F3C">
        <w:rPr>
          <w:rFonts w:asciiTheme="majorBidi" w:hAnsiTheme="majorBidi" w:cstheme="majorBidi"/>
          <w:sz w:val="20"/>
          <w:szCs w:val="20"/>
        </w:rPr>
        <w:instrText xml:space="preserve"> ADDIN EN.CITE &lt;EndNote&gt;&lt;Cite&gt;&lt;Author&gt;Ouyang&lt;/Author&gt;&lt;Year&gt;2021&lt;/Year&gt;&lt;RecNum&gt;6&lt;/RecNum&gt;&lt;DisplayText&gt;(Ouyang et al., 2021)&lt;/DisplayText&gt;&lt;record&gt;&lt;rec-number&gt;6&lt;/rec-number&gt;&lt;foreign-keys&gt;&lt;key app="EN" db-id="vvw0pt9sbfwefoevvdhppr9g0frts9x55zsf" timestamp="1674760930"&gt;6&lt;/key&gt;&lt;/foreign-keys&gt;&lt;ref-type name="Journal Article"&gt;17&lt;/ref-type&gt;&lt;contributors&gt;&lt;authors&gt;&lt;author&gt;Ouyang, Siyu&lt;/author&gt;&lt;author&gt;You, Jia&lt;/author&gt;&lt;author&gt;Zhi, Chenxi&lt;/author&gt;&lt;author&gt;Li, Pin&lt;/author&gt;&lt;author&gt;Lin, Xiaoyan&lt;/author&gt;&lt;author&gt;Tan, Xiaoqian&lt;/author&gt;&lt;author&gt;Ma, Wentao&lt;/author&gt;&lt;author&gt;Li, Liang&lt;/author&gt;&lt;author&gt;Xie, Wei %J Cell Death&lt;/author&gt;&lt;author&gt;Disease&lt;/author&gt;&lt;/authors&gt;&lt;/contributors&gt;&lt;titles&gt;&lt;title&gt;Ferroptosis: the potential value target in atherosclerosis&lt;/title&gt;&lt;/titles&gt;&lt;pages&gt;782&lt;/pages&gt;&lt;volume&gt;12&lt;/volume&gt;&lt;number&gt;8&lt;/number&gt;&lt;dates&gt;&lt;year&gt;2021&lt;/year&gt;&lt;/dates&gt;&lt;isbn&gt;2041-4889&lt;/isbn&gt;&lt;urls&gt;&lt;/urls&gt;&lt;/record&gt;&lt;/Cite&gt;&lt;/EndNote&gt;</w:instrText>
      </w:r>
      <w:r w:rsidR="00934F3C" w:rsidRPr="00934F3C">
        <w:rPr>
          <w:rFonts w:asciiTheme="majorBidi" w:hAnsiTheme="majorBidi" w:cstheme="majorBidi"/>
          <w:sz w:val="20"/>
          <w:szCs w:val="20"/>
        </w:rPr>
        <w:fldChar w:fldCharType="separate"/>
      </w:r>
      <w:r w:rsidR="00934F3C" w:rsidRPr="00934F3C">
        <w:rPr>
          <w:rFonts w:asciiTheme="majorBidi" w:hAnsiTheme="majorBidi" w:cstheme="majorBidi"/>
          <w:sz w:val="20"/>
          <w:szCs w:val="20"/>
        </w:rPr>
        <w:t>(</w:t>
      </w:r>
      <w:r w:rsidR="00114695">
        <w:rPr>
          <w:rFonts w:asciiTheme="majorBidi" w:hAnsiTheme="majorBidi" w:cstheme="majorBidi"/>
          <w:sz w:val="20"/>
          <w:szCs w:val="20"/>
        </w:rPr>
        <w:t>4</w:t>
      </w:r>
      <w:r w:rsidR="00934F3C" w:rsidRPr="00934F3C">
        <w:rPr>
          <w:rFonts w:asciiTheme="majorBidi" w:hAnsiTheme="majorBidi" w:cstheme="majorBidi"/>
          <w:sz w:val="20"/>
          <w:szCs w:val="20"/>
        </w:rPr>
        <w:t>)</w:t>
      </w:r>
      <w:r w:rsidR="00934F3C" w:rsidRPr="00934F3C">
        <w:rPr>
          <w:rFonts w:asciiTheme="majorBidi" w:hAnsiTheme="majorBidi" w:cstheme="majorBidi"/>
          <w:sz w:val="20"/>
          <w:szCs w:val="20"/>
        </w:rPr>
        <w:fldChar w:fldCharType="end"/>
      </w:r>
      <w:r w:rsidR="00934F3C" w:rsidRPr="00934F3C">
        <w:rPr>
          <w:rFonts w:asciiTheme="majorBidi" w:hAnsiTheme="majorBidi" w:cstheme="majorBidi"/>
          <w:sz w:val="20"/>
          <w:szCs w:val="20"/>
        </w:rPr>
        <w:t xml:space="preserve">. </w:t>
      </w:r>
      <w:r w:rsidRPr="00650386">
        <w:rPr>
          <w:rFonts w:asciiTheme="majorBidi" w:hAnsiTheme="majorBidi" w:cstheme="majorBidi"/>
          <w:sz w:val="20"/>
          <w:szCs w:val="20"/>
        </w:rPr>
        <w:t>It differs from other types of controlled cell death, such as necroptosis, autophagy, and apoptosis, in terms of morphology, biochemistry, and genetics. Ferroptotic cells exhibit distinct characteristics such as cellular membrane rupture, smaller mitochondria with higher mitochondrial membrane density, diminished or absent mitochondrial cristae, outer mitochondrial membrane rupture, and a normal nucleus.</w:t>
      </w:r>
      <w:r w:rsidRPr="00650386">
        <w:rPr>
          <w:rFonts w:asciiTheme="majorBidi" w:hAnsiTheme="majorBidi" w:cstheme="majorBidi"/>
          <w:sz w:val="20"/>
          <w:szCs w:val="20"/>
        </w:rPr>
        <w:t xml:space="preserve"> </w:t>
      </w:r>
      <w:r w:rsidR="00934F3C" w:rsidRPr="00934F3C">
        <w:rPr>
          <w:rFonts w:asciiTheme="majorBidi" w:hAnsiTheme="majorBidi" w:cstheme="majorBidi"/>
          <w:sz w:val="20"/>
          <w:szCs w:val="20"/>
        </w:rPr>
        <w:fldChar w:fldCharType="begin"/>
      </w:r>
      <w:r w:rsidR="00934F3C" w:rsidRPr="00934F3C">
        <w:rPr>
          <w:rFonts w:asciiTheme="majorBidi" w:hAnsiTheme="majorBidi" w:cstheme="majorBidi"/>
          <w:sz w:val="20"/>
          <w:szCs w:val="20"/>
        </w:rPr>
        <w:instrText xml:space="preserve"> ADDIN EN.CITE &lt;EndNote&gt;&lt;Cite&gt;&lt;Author&gt;Li&lt;/Author&gt;&lt;Year&gt;2020&lt;/Year&gt;&lt;RecNum&gt;15&lt;/RecNum&gt;&lt;DisplayText&gt;(Li, Cao, &amp;amp; Dis, 2020)&lt;/DisplayText&gt;&lt;record&gt;&lt;rec-number&gt;15&lt;/rec-number&gt;&lt;foreign-keys&gt;&lt;key app="EN" db-id="vvw0pt9sbfwefoevvdhppr9g0frts9x55zsf" timestamp="1676143596"&gt;15&lt;/key&gt;&lt;/foreign-keys&gt;&lt;ref-type name="Journal Article"&gt;17&lt;/ref-type&gt;&lt;contributors&gt;&lt;authors&gt;&lt;author&gt;Li, J&lt;/author&gt;&lt;author&gt;Cao, F %J Ferroptosis: past, present&lt;/author&gt;&lt;author&gt;future. Cell Death Dis&lt;/author&gt;&lt;/authors&gt;&lt;/contributors&gt;&lt;titles&gt;&lt;title&gt;Yin H liang, Huang Z jian, Lin Z tao, Mao N, et al&lt;/title&gt;&lt;/titles&gt;&lt;volume&gt;11&lt;/volume&gt;&lt;number&gt;2&lt;/number&gt;&lt;dates&gt;&lt;year&gt;2020&lt;/year&gt;&lt;/dates&gt;&lt;urls&gt;&lt;/urls&gt;&lt;/record&gt;&lt;/Cite&gt;&lt;/EndNote&gt;</w:instrText>
      </w:r>
      <w:r w:rsidR="00934F3C" w:rsidRPr="00934F3C">
        <w:rPr>
          <w:rFonts w:asciiTheme="majorBidi" w:hAnsiTheme="majorBidi" w:cstheme="majorBidi"/>
          <w:sz w:val="20"/>
          <w:szCs w:val="20"/>
        </w:rPr>
        <w:fldChar w:fldCharType="separate"/>
      </w:r>
      <w:r w:rsidR="00934F3C" w:rsidRPr="00934F3C">
        <w:rPr>
          <w:rFonts w:asciiTheme="majorBidi" w:hAnsiTheme="majorBidi" w:cstheme="majorBidi"/>
          <w:sz w:val="20"/>
          <w:szCs w:val="20"/>
        </w:rPr>
        <w:t>(</w:t>
      </w:r>
      <w:r w:rsidR="00114695">
        <w:rPr>
          <w:rFonts w:asciiTheme="majorBidi" w:hAnsiTheme="majorBidi" w:cstheme="majorBidi"/>
          <w:sz w:val="20"/>
          <w:szCs w:val="20"/>
        </w:rPr>
        <w:t>5</w:t>
      </w:r>
      <w:r w:rsidR="00934F3C" w:rsidRPr="00934F3C">
        <w:rPr>
          <w:rFonts w:asciiTheme="majorBidi" w:hAnsiTheme="majorBidi" w:cstheme="majorBidi"/>
          <w:sz w:val="20"/>
          <w:szCs w:val="20"/>
        </w:rPr>
        <w:t>)</w:t>
      </w:r>
      <w:r w:rsidR="00934F3C" w:rsidRPr="00934F3C">
        <w:rPr>
          <w:rFonts w:asciiTheme="majorBidi" w:hAnsiTheme="majorBidi" w:cstheme="majorBidi"/>
          <w:sz w:val="20"/>
          <w:szCs w:val="20"/>
        </w:rPr>
        <w:fldChar w:fldCharType="end"/>
      </w:r>
      <w:r w:rsidR="00934F3C" w:rsidRPr="00934F3C">
        <w:rPr>
          <w:rFonts w:asciiTheme="majorBidi" w:hAnsiTheme="majorBidi" w:cstheme="majorBidi"/>
          <w:sz w:val="20"/>
          <w:szCs w:val="20"/>
        </w:rPr>
        <w:t>.</w:t>
      </w:r>
    </w:p>
    <w:p w14:paraId="59288221" w14:textId="50578CED" w:rsidR="00114695" w:rsidRPr="00934F3C" w:rsidRDefault="00576814" w:rsidP="00502CCE">
      <w:pPr>
        <w:bidi w:val="0"/>
        <w:spacing w:after="0" w:line="240" w:lineRule="auto"/>
        <w:ind w:firstLine="360"/>
        <w:jc w:val="both"/>
        <w:rPr>
          <w:rFonts w:asciiTheme="majorBidi" w:hAnsiTheme="majorBidi" w:cstheme="majorBidi"/>
          <w:sz w:val="20"/>
          <w:szCs w:val="20"/>
        </w:rPr>
      </w:pPr>
      <w:r w:rsidRPr="00576814">
        <w:rPr>
          <w:rFonts w:asciiTheme="majorBidi" w:hAnsiTheme="majorBidi" w:cstheme="majorBidi"/>
          <w:sz w:val="20"/>
          <w:szCs w:val="20"/>
        </w:rPr>
        <w:t>A range of cellular pathogenic events linked to ferroptosis influences the occurrence and evolution of atherosclerosis</w:t>
      </w:r>
      <w:r>
        <w:rPr>
          <w:rFonts w:asciiTheme="majorBidi" w:hAnsiTheme="majorBidi" w:cstheme="majorBidi"/>
          <w:sz w:val="20"/>
          <w:szCs w:val="20"/>
        </w:rPr>
        <w:t xml:space="preserve"> </w:t>
      </w:r>
      <w:r w:rsidR="00934F3C" w:rsidRPr="00934F3C">
        <w:rPr>
          <w:rFonts w:asciiTheme="majorBidi" w:hAnsiTheme="majorBidi" w:cstheme="majorBidi"/>
          <w:sz w:val="20"/>
          <w:szCs w:val="20"/>
        </w:rPr>
        <w:t>(</w:t>
      </w:r>
      <w:r w:rsidR="00114695">
        <w:rPr>
          <w:rFonts w:asciiTheme="majorBidi" w:hAnsiTheme="majorBidi" w:cstheme="majorBidi"/>
          <w:sz w:val="20"/>
          <w:szCs w:val="20"/>
        </w:rPr>
        <w:t>6</w:t>
      </w:r>
      <w:r w:rsidR="00934F3C" w:rsidRPr="00934F3C">
        <w:rPr>
          <w:rFonts w:asciiTheme="majorBidi" w:hAnsiTheme="majorBidi" w:cstheme="majorBidi"/>
          <w:sz w:val="20"/>
          <w:szCs w:val="20"/>
        </w:rPr>
        <w:t>).  </w:t>
      </w:r>
      <w:r w:rsidRPr="00576814">
        <w:rPr>
          <w:rFonts w:asciiTheme="majorBidi" w:hAnsiTheme="majorBidi" w:cstheme="majorBidi"/>
          <w:sz w:val="20"/>
          <w:szCs w:val="20"/>
        </w:rPr>
        <w:t>Recent studies showed that atherosclerosis's development was influenced by ferroptosis</w:t>
      </w:r>
      <w:r>
        <w:rPr>
          <w:rFonts w:asciiTheme="majorBidi" w:hAnsiTheme="majorBidi" w:cstheme="majorBidi"/>
          <w:sz w:val="20"/>
          <w:szCs w:val="20"/>
        </w:rPr>
        <w:t xml:space="preserve"> </w:t>
      </w:r>
      <w:r w:rsidR="00934F3C" w:rsidRPr="00934F3C">
        <w:rPr>
          <w:rFonts w:asciiTheme="majorBidi" w:hAnsiTheme="majorBidi" w:cstheme="majorBidi"/>
          <w:sz w:val="20"/>
          <w:szCs w:val="20"/>
        </w:rPr>
        <w:fldChar w:fldCharType="begin"/>
      </w:r>
      <w:r w:rsidR="00934F3C" w:rsidRPr="00934F3C">
        <w:rPr>
          <w:rFonts w:asciiTheme="majorBidi" w:hAnsiTheme="majorBidi" w:cstheme="majorBidi"/>
          <w:sz w:val="20"/>
          <w:szCs w:val="20"/>
        </w:rPr>
        <w:instrText xml:space="preserve"> ADDIN EN.CITE &lt;EndNote&gt;&lt;Cite&gt;&lt;Author&gt;Ouyang&lt;/Author&gt;&lt;Year&gt;2021&lt;/Year&gt;&lt;RecNum&gt;6&lt;/RecNum&gt;&lt;DisplayText&gt;(Ouyang et al., 2021)&lt;/DisplayText&gt;&lt;record&gt;&lt;rec-number&gt;6&lt;/rec-number&gt;&lt;foreign-keys&gt;&lt;key app="EN" db-id="vvw0pt9sbfwefoevvdhppr9g0frts9x55zsf" timestamp="1674760930"&gt;6&lt;/key&gt;&lt;/foreign-keys&gt;&lt;ref-type name="Journal Article"&gt;17&lt;/ref-type&gt;&lt;contributors&gt;&lt;authors&gt;&lt;author&gt;Ouyang, Siyu&lt;/author&gt;&lt;author&gt;You, Jia&lt;/author&gt;&lt;author&gt;Zhi, Chenxi&lt;/author&gt;&lt;author&gt;Li, Pin&lt;/author&gt;&lt;author&gt;Lin, Xiaoyan&lt;/author&gt;&lt;author&gt;Tan, Xiaoqian&lt;/author&gt;&lt;author&gt;Ma, Wentao&lt;/author&gt;&lt;author&gt;Li, Liang&lt;/author&gt;&lt;author&gt;Xie, Wei %J Cell Death&lt;/author&gt;&lt;author&gt;Disease&lt;/author&gt;&lt;/authors&gt;&lt;/contributors&gt;&lt;titles&gt;&lt;title&gt;Ferroptosis: the potential value target in atherosclerosis&lt;/title&gt;&lt;/titles&gt;&lt;pages&gt;782&lt;/pages&gt;&lt;volume&gt;12&lt;/volume&gt;&lt;number&gt;8&lt;/number&gt;&lt;dates&gt;&lt;year&gt;2021&lt;/year&gt;&lt;/dates&gt;&lt;isbn&gt;2041-4889&lt;/isbn&gt;&lt;urls&gt;&lt;/urls&gt;&lt;/record&gt;&lt;/Cite&gt;&lt;/EndNote&gt;</w:instrText>
      </w:r>
      <w:r w:rsidR="00934F3C" w:rsidRPr="00934F3C">
        <w:rPr>
          <w:rFonts w:asciiTheme="majorBidi" w:hAnsiTheme="majorBidi" w:cstheme="majorBidi"/>
          <w:sz w:val="20"/>
          <w:szCs w:val="20"/>
        </w:rPr>
        <w:fldChar w:fldCharType="separate"/>
      </w:r>
      <w:r w:rsidR="00934F3C" w:rsidRPr="00934F3C">
        <w:rPr>
          <w:rFonts w:asciiTheme="majorBidi" w:hAnsiTheme="majorBidi" w:cstheme="majorBidi"/>
          <w:sz w:val="20"/>
          <w:szCs w:val="20"/>
        </w:rPr>
        <w:t>(</w:t>
      </w:r>
      <w:r w:rsidR="00502CCE">
        <w:rPr>
          <w:rFonts w:asciiTheme="majorBidi" w:hAnsiTheme="majorBidi" w:cstheme="majorBidi"/>
          <w:sz w:val="20"/>
          <w:szCs w:val="20"/>
        </w:rPr>
        <w:t>6</w:t>
      </w:r>
      <w:r w:rsidR="00114695">
        <w:rPr>
          <w:rFonts w:asciiTheme="majorBidi" w:hAnsiTheme="majorBidi" w:cstheme="majorBidi"/>
          <w:sz w:val="20"/>
          <w:szCs w:val="20"/>
        </w:rPr>
        <w:t>)</w:t>
      </w:r>
      <w:r w:rsidR="00934F3C" w:rsidRPr="00934F3C">
        <w:rPr>
          <w:rFonts w:asciiTheme="majorBidi" w:hAnsiTheme="majorBidi" w:cstheme="majorBidi"/>
          <w:sz w:val="20"/>
          <w:szCs w:val="20"/>
        </w:rPr>
        <w:fldChar w:fldCharType="end"/>
      </w:r>
      <w:r w:rsidR="00934F3C" w:rsidRPr="00934F3C">
        <w:rPr>
          <w:rFonts w:asciiTheme="majorBidi" w:hAnsiTheme="majorBidi" w:cstheme="majorBidi"/>
          <w:sz w:val="20"/>
          <w:szCs w:val="20"/>
        </w:rPr>
        <w:t>.</w:t>
      </w:r>
    </w:p>
    <w:p w14:paraId="5414417C" w14:textId="50311C94" w:rsidR="00114695" w:rsidRPr="00114695" w:rsidRDefault="00BF1034" w:rsidP="00650386">
      <w:pPr>
        <w:bidi w:val="0"/>
        <w:spacing w:after="0" w:line="240" w:lineRule="auto"/>
        <w:ind w:firstLine="360"/>
        <w:jc w:val="both"/>
        <w:rPr>
          <w:rFonts w:asciiTheme="majorBidi" w:hAnsiTheme="majorBidi" w:cstheme="majorBidi"/>
          <w:sz w:val="20"/>
          <w:szCs w:val="20"/>
        </w:rPr>
      </w:pPr>
      <w:r w:rsidRPr="00BF1034">
        <w:rPr>
          <w:rFonts w:asciiTheme="majorBidi" w:hAnsiTheme="majorBidi" w:cstheme="majorBidi"/>
          <w:sz w:val="20"/>
          <w:szCs w:val="20"/>
        </w:rPr>
        <w:t>Thymosin β4 (Tβ4), a peptide that is extensively distributed and valuable in a variety of physiological and pathological contexts, stimulates angiogenesis and proliferation while simultaneously suppressing apoptosis and inflammation</w:t>
      </w:r>
      <w:r>
        <w:rPr>
          <w:rFonts w:asciiTheme="majorBidi" w:hAnsiTheme="majorBidi" w:cstheme="majorBidi" w:hint="cs"/>
          <w:sz w:val="20"/>
          <w:szCs w:val="20"/>
          <w:rtl/>
        </w:rPr>
        <w:t xml:space="preserve"> </w:t>
      </w:r>
      <w:r w:rsidR="00BB7E7A">
        <w:rPr>
          <w:rFonts w:asciiTheme="majorBidi" w:hAnsiTheme="majorBidi" w:cstheme="majorBidi"/>
          <w:sz w:val="20"/>
          <w:szCs w:val="20"/>
        </w:rPr>
        <w:t>(</w:t>
      </w:r>
      <w:r w:rsidR="00502CCE">
        <w:rPr>
          <w:rFonts w:asciiTheme="majorBidi" w:hAnsiTheme="majorBidi" w:cstheme="majorBidi"/>
          <w:sz w:val="20"/>
          <w:szCs w:val="20"/>
        </w:rPr>
        <w:t>7</w:t>
      </w:r>
      <w:r w:rsidR="00114695">
        <w:rPr>
          <w:rFonts w:asciiTheme="majorBidi" w:hAnsiTheme="majorBidi" w:cstheme="majorBidi"/>
          <w:sz w:val="20"/>
          <w:szCs w:val="20"/>
        </w:rPr>
        <w:t>)</w:t>
      </w:r>
      <w:r w:rsidR="00114695" w:rsidRPr="00114695">
        <w:rPr>
          <w:rFonts w:asciiTheme="majorBidi" w:hAnsiTheme="majorBidi" w:cstheme="majorBidi"/>
          <w:sz w:val="20"/>
          <w:szCs w:val="20"/>
        </w:rPr>
        <w:t>.</w:t>
      </w:r>
      <w:r w:rsidR="00650386" w:rsidRPr="00650386">
        <w:t xml:space="preserve"> </w:t>
      </w:r>
      <w:r w:rsidR="00650386" w:rsidRPr="00650386">
        <w:rPr>
          <w:rFonts w:asciiTheme="majorBidi" w:hAnsiTheme="majorBidi" w:cstheme="majorBidi"/>
          <w:sz w:val="20"/>
          <w:szCs w:val="20"/>
        </w:rPr>
        <w:t xml:space="preserve">Thymosin beta-4 may function as an endogenous iron chelator by binding both Fe²⁺ and Fe³⁺ ions through specific regions of its peptide structure. This capability positions Tβ4 as a potential regulator of </w:t>
      </w:r>
      <w:r w:rsidR="00650386" w:rsidRPr="00650386">
        <w:rPr>
          <w:rFonts w:asciiTheme="majorBidi" w:hAnsiTheme="majorBidi" w:cstheme="majorBidi"/>
          <w:sz w:val="20"/>
          <w:szCs w:val="20"/>
        </w:rPr>
        <w:t>ferroptosis, as it influences antioxidant pathways associated with free iron and reactive oxygen species (ROS) production via the Fenton reaction.</w:t>
      </w:r>
      <w:r w:rsidR="00114695" w:rsidRPr="00114695">
        <w:rPr>
          <w:rFonts w:asciiTheme="majorBidi" w:hAnsiTheme="majorBidi" w:cstheme="majorBidi"/>
          <w:sz w:val="20"/>
          <w:szCs w:val="20"/>
        </w:rPr>
        <w:fldChar w:fldCharType="begin"/>
      </w:r>
      <w:r w:rsidR="00114695" w:rsidRPr="00114695">
        <w:rPr>
          <w:rFonts w:asciiTheme="majorBidi" w:hAnsiTheme="majorBidi" w:cstheme="majorBidi"/>
          <w:sz w:val="20"/>
          <w:szCs w:val="20"/>
        </w:rPr>
        <w:instrText xml:space="preserve"> ADDIN EN.CITE &lt;EndNote&gt;&lt;Cite&gt;&lt;Author&gt;Lachowicz&lt;/Author&gt;&lt;Year&gt;2022&lt;/Year&gt;&lt;RecNum&gt;12&lt;/RecNum&gt;&lt;DisplayText&gt;(Lachowicz et al., 2022)&lt;/DisplayText&gt;&lt;record&gt;&lt;rec-number&gt;12&lt;/rec-number&gt;&lt;foreign-keys&gt;&lt;key app="EN" db-id="vvw0pt9sbfwefoevvdhppr9g0frts9x55zsf" timestamp="1674766515"&gt;12&lt;/key&gt;&lt;/foreign-keys&gt;&lt;ref-type name="Journal Article"&gt;17&lt;/ref-type&gt;&lt;contributors&gt;&lt;authors&gt;&lt;author&gt;Lachowicz, Joanna I&lt;/author&gt;&lt;author&gt;Pichiri, Giusi&lt;/author&gt;&lt;author&gt;Piludu, Marco&lt;/author&gt;&lt;author&gt;Fais, Sara&lt;/author&gt;&lt;author&gt;Orrù, Germano&lt;/author&gt;&lt;author&gt;Congiu, Terenzio&lt;/author&gt;&lt;author&gt;Piras, Monica&lt;/author&gt;&lt;author&gt;Faa, Gavino&lt;/author&gt;&lt;author&gt;Fanni, Daniela&lt;/author&gt;&lt;author&gt;Dalla Torre, Gabriele %J International Journal of Molecular Sciences&lt;/author&gt;&lt;/authors&gt;&lt;/contributors&gt;&lt;titles&gt;&lt;title&gt;Thymosin β4 is an endogenous iron chelator and molecular switcher of ferroptosis&lt;/title&gt;&lt;/titles&gt;&lt;pages&gt;551&lt;/pages&gt;&lt;volume&gt;23&lt;/volume&gt;&lt;number&gt;1&lt;/number&gt;&lt;dates&gt;&lt;year&gt;2022&lt;/year&gt;&lt;/dates&gt;&lt;isbn&gt;1422-0067&lt;/isbn&gt;&lt;urls&gt;&lt;/urls&gt;&lt;/record&gt;&lt;/Cite&gt;&lt;/EndNote&gt;</w:instrText>
      </w:r>
      <w:r w:rsidR="00114695" w:rsidRPr="00114695">
        <w:rPr>
          <w:rFonts w:asciiTheme="majorBidi" w:hAnsiTheme="majorBidi" w:cstheme="majorBidi"/>
          <w:sz w:val="20"/>
          <w:szCs w:val="20"/>
        </w:rPr>
        <w:fldChar w:fldCharType="separate"/>
      </w:r>
      <w:r w:rsidR="00114695" w:rsidRPr="00114695">
        <w:rPr>
          <w:rFonts w:asciiTheme="majorBidi" w:hAnsiTheme="majorBidi" w:cstheme="majorBidi"/>
          <w:sz w:val="20"/>
          <w:szCs w:val="20"/>
        </w:rPr>
        <w:t>(</w:t>
      </w:r>
      <w:r w:rsidR="00502CCE">
        <w:rPr>
          <w:rFonts w:asciiTheme="majorBidi" w:hAnsiTheme="majorBidi" w:cstheme="majorBidi"/>
          <w:sz w:val="20"/>
          <w:szCs w:val="20"/>
        </w:rPr>
        <w:t>8</w:t>
      </w:r>
      <w:r w:rsidR="00114695" w:rsidRPr="00114695">
        <w:rPr>
          <w:rFonts w:asciiTheme="majorBidi" w:hAnsiTheme="majorBidi" w:cstheme="majorBidi"/>
          <w:sz w:val="20"/>
          <w:szCs w:val="20"/>
        </w:rPr>
        <w:t>)</w:t>
      </w:r>
      <w:r w:rsidR="00114695" w:rsidRPr="00114695">
        <w:rPr>
          <w:rFonts w:asciiTheme="majorBidi" w:hAnsiTheme="majorBidi" w:cstheme="majorBidi"/>
          <w:sz w:val="20"/>
          <w:szCs w:val="20"/>
        </w:rPr>
        <w:fldChar w:fldCharType="end"/>
      </w:r>
      <w:r w:rsidR="00114695" w:rsidRPr="00114695">
        <w:rPr>
          <w:rFonts w:asciiTheme="majorBidi" w:hAnsiTheme="majorBidi" w:cstheme="majorBidi"/>
          <w:sz w:val="20"/>
          <w:szCs w:val="20"/>
        </w:rPr>
        <w:t>.</w:t>
      </w:r>
    </w:p>
    <w:p w14:paraId="28211794" w14:textId="67C3B286" w:rsidR="00114695" w:rsidRPr="00114695" w:rsidRDefault="006F5947" w:rsidP="00114695">
      <w:pPr>
        <w:bidi w:val="0"/>
        <w:spacing w:after="0" w:line="240" w:lineRule="auto"/>
        <w:ind w:firstLine="360"/>
        <w:jc w:val="both"/>
        <w:rPr>
          <w:rFonts w:asciiTheme="majorBidi" w:hAnsiTheme="majorBidi" w:cstheme="majorBidi"/>
          <w:sz w:val="20"/>
          <w:szCs w:val="20"/>
        </w:rPr>
      </w:pPr>
      <w:r w:rsidRPr="006F5947">
        <w:rPr>
          <w:rFonts w:asciiTheme="majorBidi" w:hAnsiTheme="majorBidi" w:cstheme="majorBidi"/>
          <w:sz w:val="20"/>
          <w:szCs w:val="20"/>
        </w:rPr>
        <w:t>Research into the underlying molecular and pathological processes of CAD has the potential to yield valuable therapeutic targets for patients</w:t>
      </w:r>
      <w:r>
        <w:rPr>
          <w:rFonts w:asciiTheme="majorBidi" w:hAnsiTheme="majorBidi" w:cstheme="majorBidi" w:hint="cs"/>
          <w:sz w:val="20"/>
          <w:szCs w:val="20"/>
          <w:rtl/>
        </w:rPr>
        <w:t xml:space="preserve"> </w:t>
      </w:r>
      <w:bookmarkStart w:id="7" w:name="_Hlk195776256"/>
      <w:r w:rsidR="00114695">
        <w:rPr>
          <w:rFonts w:asciiTheme="majorBidi" w:hAnsiTheme="majorBidi" w:cstheme="majorBidi"/>
          <w:sz w:val="20"/>
          <w:szCs w:val="20"/>
        </w:rPr>
        <w:t>(</w:t>
      </w:r>
      <w:r w:rsidR="00502CCE">
        <w:rPr>
          <w:rFonts w:asciiTheme="majorBidi" w:hAnsiTheme="majorBidi" w:cstheme="majorBidi"/>
          <w:sz w:val="20"/>
          <w:szCs w:val="20"/>
        </w:rPr>
        <w:t>9</w:t>
      </w:r>
      <w:r w:rsidR="00114695">
        <w:rPr>
          <w:rFonts w:asciiTheme="majorBidi" w:hAnsiTheme="majorBidi" w:cstheme="majorBidi"/>
          <w:sz w:val="20"/>
          <w:szCs w:val="20"/>
        </w:rPr>
        <w:t>)</w:t>
      </w:r>
      <w:bookmarkEnd w:id="7"/>
    </w:p>
    <w:p w14:paraId="2CEB2113" w14:textId="05D6EAF8" w:rsidR="00505EA3" w:rsidRDefault="00505EA3" w:rsidP="00934F3C">
      <w:pPr>
        <w:bidi w:val="0"/>
        <w:spacing w:after="0" w:line="240" w:lineRule="auto"/>
        <w:ind w:firstLine="360"/>
        <w:jc w:val="both"/>
        <w:rPr>
          <w:rFonts w:asciiTheme="majorBidi" w:hAnsiTheme="majorBidi" w:cstheme="majorBidi"/>
          <w:sz w:val="20"/>
          <w:szCs w:val="20"/>
        </w:rPr>
      </w:pPr>
    </w:p>
    <w:p w14:paraId="45D53507" w14:textId="21A475BD" w:rsidR="003C3580" w:rsidRPr="00965747" w:rsidRDefault="008A22B5" w:rsidP="00505EA3">
      <w:pPr>
        <w:bidi w:val="0"/>
        <w:spacing w:after="0" w:line="240" w:lineRule="auto"/>
        <w:jc w:val="both"/>
        <w:rPr>
          <w:rFonts w:asciiTheme="majorBidi" w:hAnsiTheme="majorBidi" w:cstheme="majorBidi"/>
          <w:b/>
          <w:bCs/>
          <w:sz w:val="20"/>
          <w:szCs w:val="20"/>
        </w:rPr>
      </w:pPr>
      <w:r w:rsidRPr="00965747">
        <w:rPr>
          <w:rFonts w:asciiTheme="majorBidi" w:hAnsiTheme="majorBidi" w:cstheme="majorBidi"/>
          <w:b/>
          <w:bCs/>
          <w:sz w:val="20"/>
          <w:szCs w:val="20"/>
        </w:rPr>
        <w:t>2.</w:t>
      </w:r>
      <w:r w:rsidR="005906E7" w:rsidRPr="00965747">
        <w:rPr>
          <w:rFonts w:asciiTheme="majorBidi" w:hAnsiTheme="majorBidi" w:cstheme="majorBidi"/>
          <w:b/>
          <w:bCs/>
          <w:sz w:val="20"/>
          <w:szCs w:val="20"/>
        </w:rPr>
        <w:t xml:space="preserve"> Thymosin beta4</w:t>
      </w:r>
    </w:p>
    <w:p w14:paraId="0F55B0AE" w14:textId="07D81957" w:rsidR="005906E7" w:rsidRDefault="00791836" w:rsidP="00791836">
      <w:pPr>
        <w:bidi w:val="0"/>
        <w:spacing w:after="0" w:line="240" w:lineRule="auto"/>
        <w:jc w:val="both"/>
        <w:rPr>
          <w:rFonts w:asciiTheme="majorBidi" w:hAnsiTheme="majorBidi" w:cstheme="majorBidi"/>
          <w:sz w:val="20"/>
          <w:szCs w:val="20"/>
        </w:rPr>
      </w:pPr>
      <w:r w:rsidRPr="00791836">
        <w:rPr>
          <w:rFonts w:asciiTheme="majorBidi" w:hAnsiTheme="majorBidi" w:cstheme="majorBidi"/>
          <w:sz w:val="20"/>
          <w:szCs w:val="20"/>
        </w:rPr>
        <w:t xml:space="preserve">In 1966, Goldstein and White first described thymosin, which was isolated from the thymus gland.  The -thymosin family is comprised of polypeptides that are biochemically and functionally distinct.  </w:t>
      </w:r>
      <w:r w:rsidR="00BF1034" w:rsidRPr="00BF1034">
        <w:rPr>
          <w:rFonts w:asciiTheme="majorBidi" w:hAnsiTheme="majorBidi" w:cstheme="majorBidi"/>
          <w:sz w:val="20"/>
          <w:szCs w:val="20"/>
        </w:rPr>
        <w:t>Tβ4, Tβ10, and Tβ15 are known to be present in the family of human beings</w:t>
      </w:r>
      <w:r w:rsidR="00BF1034">
        <w:rPr>
          <w:rFonts w:asciiTheme="majorBidi" w:hAnsiTheme="majorBidi" w:cstheme="majorBidi" w:hint="cs"/>
          <w:sz w:val="20"/>
          <w:szCs w:val="20"/>
          <w:rtl/>
        </w:rPr>
        <w:t xml:space="preserve"> </w:t>
      </w:r>
      <w:r w:rsidR="005906E7">
        <w:rPr>
          <w:rFonts w:asciiTheme="majorBidi" w:hAnsiTheme="majorBidi" w:cstheme="majorBidi"/>
          <w:sz w:val="20"/>
          <w:szCs w:val="20"/>
        </w:rPr>
        <w:t>(10).</w:t>
      </w:r>
      <w:r w:rsidR="005906E7" w:rsidRPr="005906E7">
        <w:rPr>
          <w:rFonts w:asciiTheme="majorBidi" w:hAnsiTheme="majorBidi" w:cstheme="majorBidi"/>
          <w:sz w:val="20"/>
          <w:szCs w:val="20"/>
        </w:rPr>
        <w:t xml:space="preserve"> </w:t>
      </w:r>
      <w:r w:rsidR="00BF1034" w:rsidRPr="00BF1034">
        <w:rPr>
          <w:rFonts w:asciiTheme="majorBidi" w:hAnsiTheme="majorBidi" w:cstheme="majorBidi"/>
          <w:sz w:val="20"/>
          <w:szCs w:val="20"/>
        </w:rPr>
        <w:t>The molecular weight of Tβ4, the most prevalent peptide in this family, is 4964 Da.   A highly conserved, acidic polypeptide that is water-soluble.   It is composed of 43 amino acids</w:t>
      </w:r>
      <w:r w:rsidR="00BF1034">
        <w:rPr>
          <w:rFonts w:asciiTheme="majorBidi" w:hAnsiTheme="majorBidi" w:cstheme="majorBidi" w:hint="cs"/>
          <w:sz w:val="20"/>
          <w:szCs w:val="20"/>
          <w:rtl/>
        </w:rPr>
        <w:t xml:space="preserve"> </w:t>
      </w:r>
      <w:r w:rsidR="005906E7" w:rsidRPr="005906E7">
        <w:rPr>
          <w:rFonts w:asciiTheme="majorBidi" w:hAnsiTheme="majorBidi" w:cstheme="majorBidi"/>
          <w:sz w:val="20"/>
          <w:szCs w:val="20"/>
        </w:rPr>
        <w:t>[</w:t>
      </w:r>
      <w:hyperlink r:id="rId14" w:anchor="B14-ijms-16-10624" w:history="1">
        <w:r w:rsidR="005906E7" w:rsidRPr="005906E7">
          <w:t>11</w:t>
        </w:r>
      </w:hyperlink>
      <w:r w:rsidR="005906E7" w:rsidRPr="005906E7">
        <w:rPr>
          <w:rFonts w:asciiTheme="majorBidi" w:hAnsiTheme="majorBidi" w:cstheme="majorBidi"/>
          <w:sz w:val="20"/>
          <w:szCs w:val="20"/>
        </w:rPr>
        <w:t>]. </w:t>
      </w:r>
      <w:r w:rsidRPr="00791836">
        <w:rPr>
          <w:rFonts w:asciiTheme="majorBidi" w:hAnsiTheme="majorBidi" w:cstheme="majorBidi"/>
          <w:sz w:val="20"/>
          <w:szCs w:val="20"/>
        </w:rPr>
        <w:t>Tβ4 is selectively crosslinked to a variety of molecules by factor XIIIa, in addition to actin, collagen, and fibrin</w:t>
      </w:r>
      <w:r>
        <w:rPr>
          <w:rFonts w:asciiTheme="majorBidi" w:hAnsiTheme="majorBidi" w:cstheme="majorBidi"/>
          <w:sz w:val="20"/>
          <w:szCs w:val="20"/>
        </w:rPr>
        <w:t xml:space="preserve"> </w:t>
      </w:r>
      <w:r w:rsidR="00965747" w:rsidRPr="00965747">
        <w:rPr>
          <w:rFonts w:asciiTheme="majorBidi" w:hAnsiTheme="majorBidi" w:cstheme="majorBidi"/>
          <w:sz w:val="20"/>
          <w:szCs w:val="20"/>
        </w:rPr>
        <w:t>[</w:t>
      </w:r>
      <w:hyperlink r:id="rId15" w:anchor="B9-ijms-16-10624" w:history="1">
        <w:r w:rsidR="00965747" w:rsidRPr="00965747">
          <w:rPr>
            <w:rStyle w:val="Hyperlink"/>
            <w:rFonts w:asciiTheme="majorBidi" w:hAnsiTheme="majorBidi" w:cstheme="majorBidi"/>
            <w:color w:val="auto"/>
            <w:sz w:val="20"/>
            <w:szCs w:val="20"/>
            <w:u w:val="none"/>
          </w:rPr>
          <w:t>12</w:t>
        </w:r>
      </w:hyperlink>
      <w:r w:rsidR="00965747" w:rsidRPr="00965747">
        <w:rPr>
          <w:rFonts w:asciiTheme="majorBidi" w:hAnsiTheme="majorBidi" w:cstheme="majorBidi"/>
          <w:sz w:val="20"/>
          <w:szCs w:val="20"/>
        </w:rPr>
        <w:t xml:space="preserve">]. </w:t>
      </w:r>
      <w:r w:rsidR="00330286" w:rsidRPr="00330286">
        <w:rPr>
          <w:rFonts w:asciiTheme="majorBidi" w:hAnsiTheme="majorBidi" w:cstheme="majorBidi"/>
          <w:sz w:val="20"/>
          <w:szCs w:val="20"/>
        </w:rPr>
        <w:t xml:space="preserve">Furthermore, it is a robust regulator of actin polymerization in mammals and functions as a </w:t>
      </w:r>
      <w:r w:rsidR="00905F2F" w:rsidRPr="00330286">
        <w:rPr>
          <w:rFonts w:asciiTheme="majorBidi" w:hAnsiTheme="majorBidi" w:cstheme="majorBidi"/>
          <w:sz w:val="20"/>
          <w:szCs w:val="20"/>
        </w:rPr>
        <w:t>significant</w:t>
      </w:r>
      <w:r w:rsidR="00330286" w:rsidRPr="00330286">
        <w:rPr>
          <w:rFonts w:asciiTheme="majorBidi" w:hAnsiTheme="majorBidi" w:cstheme="majorBidi"/>
          <w:sz w:val="20"/>
          <w:szCs w:val="20"/>
        </w:rPr>
        <w:t xml:space="preserve"> actin-sequestering molecule in all eukaryotic cells</w:t>
      </w:r>
      <w:r w:rsidR="00330286">
        <w:rPr>
          <w:rFonts w:asciiTheme="majorBidi" w:hAnsiTheme="majorBidi" w:cstheme="majorBidi" w:hint="cs"/>
          <w:sz w:val="20"/>
          <w:szCs w:val="20"/>
          <w:rtl/>
        </w:rPr>
        <w:t xml:space="preserve"> </w:t>
      </w:r>
      <w:r w:rsidR="00965747">
        <w:rPr>
          <w:rFonts w:asciiTheme="majorBidi" w:hAnsiTheme="majorBidi" w:cstheme="majorBidi"/>
          <w:sz w:val="20"/>
          <w:szCs w:val="20"/>
        </w:rPr>
        <w:t>(13).</w:t>
      </w:r>
      <w:r w:rsidR="00965747" w:rsidRPr="00965747">
        <w:rPr>
          <w:rFonts w:ascii="Arial" w:hAnsi="Arial"/>
          <w:color w:val="222222"/>
          <w:sz w:val="20"/>
          <w:szCs w:val="20"/>
          <w:shd w:val="clear" w:color="auto" w:fill="FFFFFF"/>
        </w:rPr>
        <w:t xml:space="preserve"> </w:t>
      </w:r>
      <w:r w:rsidRPr="00791836">
        <w:rPr>
          <w:rFonts w:asciiTheme="majorBidi" w:hAnsiTheme="majorBidi" w:cstheme="majorBidi"/>
          <w:sz w:val="20"/>
          <w:szCs w:val="20"/>
        </w:rPr>
        <w:t>The expression of thymosin Tβ4 in the developing brain and the cardiovascular system has been previously documented</w:t>
      </w:r>
      <w:r>
        <w:rPr>
          <w:rFonts w:asciiTheme="majorBidi" w:hAnsiTheme="majorBidi" w:cstheme="majorBidi"/>
          <w:sz w:val="20"/>
          <w:szCs w:val="20"/>
        </w:rPr>
        <w:t xml:space="preserve"> </w:t>
      </w:r>
      <w:r w:rsidR="00965747">
        <w:rPr>
          <w:rFonts w:asciiTheme="majorBidi" w:hAnsiTheme="majorBidi" w:cstheme="majorBidi"/>
          <w:sz w:val="20"/>
          <w:szCs w:val="20"/>
        </w:rPr>
        <w:t xml:space="preserve">(14) </w:t>
      </w:r>
      <w:r w:rsidR="00330286" w:rsidRPr="00330286">
        <w:rPr>
          <w:rFonts w:asciiTheme="majorBidi" w:hAnsiTheme="majorBidi" w:cstheme="majorBidi"/>
          <w:sz w:val="20"/>
          <w:szCs w:val="20"/>
        </w:rPr>
        <w:t>Following ischemia, Tβ4 improves the survival of cardiac myocytes by increasing the expression of vascular endothelial growth factor (VEGF) and activating integrin-linked kinase (ILK</w:t>
      </w:r>
      <w:r w:rsidR="00650386" w:rsidRPr="00330286">
        <w:rPr>
          <w:rFonts w:asciiTheme="majorBidi" w:hAnsiTheme="majorBidi" w:cstheme="majorBidi"/>
          <w:sz w:val="20"/>
          <w:szCs w:val="20"/>
        </w:rPr>
        <w:t>)</w:t>
      </w:r>
      <w:r w:rsidR="00650386">
        <w:rPr>
          <w:rFonts w:asciiTheme="majorBidi" w:hAnsiTheme="majorBidi" w:cstheme="majorBidi"/>
          <w:sz w:val="20"/>
          <w:szCs w:val="20"/>
        </w:rPr>
        <w:t xml:space="preserve"> (</w:t>
      </w:r>
      <w:r w:rsidR="00965747">
        <w:rPr>
          <w:rFonts w:asciiTheme="majorBidi" w:hAnsiTheme="majorBidi" w:cstheme="majorBidi"/>
          <w:sz w:val="20"/>
          <w:szCs w:val="20"/>
        </w:rPr>
        <w:t>15).</w:t>
      </w:r>
      <w:r w:rsidR="00650386" w:rsidRPr="00650386">
        <w:t xml:space="preserve"> </w:t>
      </w:r>
      <w:r w:rsidR="00650386" w:rsidRPr="00650386">
        <w:rPr>
          <w:rFonts w:asciiTheme="majorBidi" w:hAnsiTheme="majorBidi" w:cstheme="majorBidi"/>
          <w:sz w:val="20"/>
          <w:szCs w:val="20"/>
        </w:rPr>
        <w:t>Tβ4 forms a functional complex with Particularly Interesting New Cysteine-Histidine-rich protein</w:t>
      </w:r>
      <w:r w:rsidR="00650386">
        <w:rPr>
          <w:rFonts w:asciiTheme="majorBidi" w:hAnsiTheme="majorBidi" w:cstheme="majorBidi"/>
          <w:sz w:val="20"/>
          <w:szCs w:val="20"/>
        </w:rPr>
        <w:t xml:space="preserve"> (</w:t>
      </w:r>
      <w:r w:rsidR="00650386" w:rsidRPr="00650386">
        <w:rPr>
          <w:rFonts w:asciiTheme="majorBidi" w:hAnsiTheme="majorBidi" w:cstheme="majorBidi"/>
          <w:sz w:val="20"/>
          <w:szCs w:val="20"/>
        </w:rPr>
        <w:t>PINCH</w:t>
      </w:r>
      <w:r w:rsidR="00650386">
        <w:rPr>
          <w:rFonts w:asciiTheme="majorBidi" w:hAnsiTheme="majorBidi" w:cstheme="majorBidi"/>
          <w:sz w:val="20"/>
          <w:szCs w:val="20"/>
        </w:rPr>
        <w:t>)</w:t>
      </w:r>
      <w:r w:rsidR="00650386" w:rsidRPr="00650386">
        <w:rPr>
          <w:rFonts w:asciiTheme="majorBidi" w:hAnsiTheme="majorBidi" w:cstheme="majorBidi"/>
          <w:sz w:val="20"/>
          <w:szCs w:val="20"/>
        </w:rPr>
        <w:t xml:space="preserve"> and ILK, leading to the activation of the survival kinase Akt (also known as protein kinase B). This signaling cascade promotes cardiomyocyte survival and migration</w:t>
      </w:r>
      <w:r w:rsidR="00650386">
        <w:rPr>
          <w:rFonts w:asciiTheme="majorBidi" w:hAnsiTheme="majorBidi" w:cstheme="majorBidi"/>
          <w:sz w:val="20"/>
          <w:szCs w:val="20"/>
        </w:rPr>
        <w:t>.</w:t>
      </w:r>
    </w:p>
    <w:p w14:paraId="14DEC380" w14:textId="6567AA3F" w:rsidR="00B42737" w:rsidRPr="00B42737" w:rsidRDefault="005906E7" w:rsidP="005906E7">
      <w:pPr>
        <w:bidi w:val="0"/>
        <w:spacing w:after="0" w:line="240" w:lineRule="auto"/>
        <w:jc w:val="both"/>
        <w:rPr>
          <w:rFonts w:asciiTheme="majorBidi" w:hAnsiTheme="majorBidi" w:cstheme="majorBidi"/>
          <w:sz w:val="20"/>
          <w:szCs w:val="20"/>
        </w:rPr>
      </w:pPr>
      <w:r w:rsidRPr="005906E7">
        <w:rPr>
          <w:rFonts w:asciiTheme="majorBidi" w:hAnsiTheme="majorBidi" w:cstheme="majorBidi"/>
          <w:sz w:val="20"/>
          <w:szCs w:val="20"/>
        </w:rPr>
        <w:t> </w:t>
      </w:r>
      <w:r w:rsidRPr="005906E7">
        <w:rPr>
          <w:rFonts w:asciiTheme="majorBidi" w:hAnsiTheme="majorBidi" w:cstheme="majorBidi"/>
          <w:b/>
          <w:bCs/>
          <w:sz w:val="20"/>
          <w:szCs w:val="20"/>
        </w:rPr>
        <w:t xml:space="preserve"> </w:t>
      </w:r>
    </w:p>
    <w:p w14:paraId="2DA29658" w14:textId="7189FDBA" w:rsidR="00EB795A" w:rsidRPr="00505EA3" w:rsidRDefault="00EB795A" w:rsidP="00B42737">
      <w:pPr>
        <w:bidi w:val="0"/>
        <w:spacing w:after="0" w:line="240" w:lineRule="auto"/>
        <w:jc w:val="both"/>
        <w:rPr>
          <w:rFonts w:asciiTheme="majorBidi" w:hAnsiTheme="majorBidi" w:cstheme="majorBidi"/>
          <w:b/>
          <w:bCs/>
          <w:sz w:val="20"/>
          <w:szCs w:val="20"/>
        </w:rPr>
      </w:pPr>
      <w:r w:rsidRPr="00505EA3">
        <w:rPr>
          <w:rFonts w:asciiTheme="majorBidi" w:hAnsiTheme="majorBidi" w:cstheme="majorBidi"/>
          <w:b/>
          <w:bCs/>
          <w:sz w:val="20"/>
          <w:szCs w:val="20"/>
        </w:rPr>
        <w:t>3.</w:t>
      </w:r>
      <w:r w:rsidR="00965747">
        <w:rPr>
          <w:rFonts w:asciiTheme="majorBidi" w:hAnsiTheme="majorBidi" w:cstheme="majorBidi"/>
          <w:b/>
          <w:bCs/>
          <w:sz w:val="20"/>
          <w:szCs w:val="20"/>
        </w:rPr>
        <w:t>Ferroptosis</w:t>
      </w:r>
    </w:p>
    <w:p w14:paraId="0E5831AB" w14:textId="304014C7" w:rsidR="00320F57" w:rsidRPr="00603438" w:rsidRDefault="00650386" w:rsidP="00650386">
      <w:pPr>
        <w:bidi w:val="0"/>
        <w:spacing w:after="0" w:line="240" w:lineRule="auto"/>
        <w:jc w:val="both"/>
        <w:rPr>
          <w:rFonts w:asciiTheme="majorBidi" w:hAnsiTheme="majorBidi" w:cstheme="majorBidi"/>
          <w:sz w:val="20"/>
          <w:szCs w:val="20"/>
        </w:rPr>
      </w:pPr>
      <w:r w:rsidRPr="00650386">
        <w:rPr>
          <w:rFonts w:asciiTheme="majorBidi" w:hAnsiTheme="majorBidi" w:cstheme="majorBidi"/>
          <w:sz w:val="20"/>
          <w:szCs w:val="20"/>
        </w:rPr>
        <w:lastRenderedPageBreak/>
        <w:t>Erastin, a novel chemical that was discovered in 2003, selectively killed cancer cells that expressed RAS, but the mode of cell death was distinct from previous reports. No nuclear morphological alterations, DNA fragmentation, or caspase activation occurred, and caspase inhibitors were unable to stop this process</w:t>
      </w:r>
      <w:r>
        <w:rPr>
          <w:rFonts w:asciiTheme="majorBidi" w:hAnsiTheme="majorBidi" w:cstheme="majorBidi"/>
          <w:sz w:val="20"/>
          <w:szCs w:val="20"/>
        </w:rPr>
        <w:t xml:space="preserve"> </w:t>
      </w:r>
      <w:r w:rsidR="007662F0">
        <w:rPr>
          <w:rFonts w:asciiTheme="majorBidi" w:hAnsiTheme="majorBidi" w:cstheme="majorBidi"/>
          <w:sz w:val="20"/>
          <w:szCs w:val="20"/>
        </w:rPr>
        <w:t xml:space="preserve">(16). </w:t>
      </w:r>
      <w:r w:rsidR="00791836" w:rsidRPr="00791836">
        <w:rPr>
          <w:rFonts w:asciiTheme="majorBidi" w:hAnsiTheme="majorBidi" w:cstheme="majorBidi"/>
          <w:sz w:val="20"/>
          <w:szCs w:val="20"/>
        </w:rPr>
        <w:t>Ferroptosis is primarily observed in cells as a reduction in mitochondrial volume, an increase in the density of the bilayer membrane, and the disappearance or reduction of mitochondrial cristae when viewed morphologically</w:t>
      </w:r>
      <w:r w:rsidR="00791836">
        <w:rPr>
          <w:rFonts w:asciiTheme="majorBidi" w:hAnsiTheme="majorBidi" w:cstheme="majorBidi"/>
          <w:sz w:val="20"/>
          <w:szCs w:val="20"/>
        </w:rPr>
        <w:t xml:space="preserve"> </w:t>
      </w:r>
      <w:r w:rsidR="007662F0">
        <w:rPr>
          <w:rFonts w:asciiTheme="majorBidi" w:hAnsiTheme="majorBidi" w:cstheme="majorBidi"/>
          <w:sz w:val="20"/>
          <w:szCs w:val="20"/>
        </w:rPr>
        <w:t>(17</w:t>
      </w:r>
      <w:r>
        <w:rPr>
          <w:rFonts w:asciiTheme="majorBidi" w:hAnsiTheme="majorBidi" w:cstheme="majorBidi"/>
          <w:sz w:val="20"/>
          <w:szCs w:val="20"/>
        </w:rPr>
        <w:t>)</w:t>
      </w:r>
      <w:r w:rsidR="00D2049D" w:rsidRPr="00D2049D">
        <w:rPr>
          <w:rFonts w:asciiTheme="majorBidi" w:hAnsiTheme="majorBidi" w:cstheme="majorBidi"/>
          <w:sz w:val="20"/>
          <w:szCs w:val="20"/>
        </w:rPr>
        <w:t xml:space="preserve">.   </w:t>
      </w:r>
      <w:r w:rsidRPr="00650386">
        <w:rPr>
          <w:rFonts w:asciiTheme="majorBidi" w:hAnsiTheme="majorBidi" w:cstheme="majorBidi"/>
          <w:sz w:val="20"/>
          <w:szCs w:val="20"/>
        </w:rPr>
        <w:t xml:space="preserve">Based on their modes of action, ferroptosis inducers are divided into four groups: those that cause lipid peroxidation, </w:t>
      </w:r>
      <w:r w:rsidR="00F206AC" w:rsidRPr="00F206AC">
        <w:rPr>
          <w:rFonts w:asciiTheme="majorBidi" w:hAnsiTheme="majorBidi" w:cstheme="majorBidi"/>
          <w:sz w:val="20"/>
          <w:szCs w:val="20"/>
        </w:rPr>
        <w:t>glutathione peroxidase 4 (GPX4)</w:t>
      </w:r>
      <w:r w:rsidRPr="00650386">
        <w:rPr>
          <w:rFonts w:asciiTheme="majorBidi" w:hAnsiTheme="majorBidi" w:cstheme="majorBidi"/>
          <w:sz w:val="20"/>
          <w:szCs w:val="20"/>
        </w:rPr>
        <w:t xml:space="preserve"> breakdown </w:t>
      </w:r>
      <w:r w:rsidR="00F206AC" w:rsidRPr="00650386">
        <w:rPr>
          <w:rFonts w:asciiTheme="majorBidi" w:hAnsiTheme="majorBidi" w:cstheme="majorBidi"/>
          <w:sz w:val="20"/>
          <w:szCs w:val="20"/>
        </w:rPr>
        <w:t xml:space="preserve">and </w:t>
      </w:r>
      <w:r w:rsidR="00F206AC" w:rsidRPr="00F206AC">
        <w:rPr>
          <w:rFonts w:asciiTheme="majorBidi" w:hAnsiTheme="majorBidi" w:cstheme="majorBidi"/>
          <w:sz w:val="20"/>
          <w:szCs w:val="20"/>
        </w:rPr>
        <w:t>Coenzyme</w:t>
      </w:r>
      <w:r w:rsidR="00F206AC" w:rsidRPr="00F206AC">
        <w:rPr>
          <w:rFonts w:asciiTheme="majorBidi" w:hAnsiTheme="majorBidi" w:cstheme="majorBidi"/>
          <w:sz w:val="20"/>
          <w:szCs w:val="20"/>
        </w:rPr>
        <w:t xml:space="preserve"> Q10</w:t>
      </w:r>
      <w:r w:rsidR="00F206AC">
        <w:rPr>
          <w:rFonts w:asciiTheme="majorBidi" w:hAnsiTheme="majorBidi" w:cstheme="majorBidi"/>
          <w:sz w:val="20"/>
          <w:szCs w:val="20"/>
        </w:rPr>
        <w:t xml:space="preserve"> </w:t>
      </w:r>
      <w:r w:rsidRPr="00650386">
        <w:rPr>
          <w:rFonts w:asciiTheme="majorBidi" w:hAnsiTheme="majorBidi" w:cstheme="majorBidi"/>
          <w:sz w:val="20"/>
          <w:szCs w:val="20"/>
        </w:rPr>
        <w:t xml:space="preserve">depletion, direct </w:t>
      </w:r>
      <w:r w:rsidR="00946D85">
        <w:rPr>
          <w:rFonts w:asciiTheme="majorBidi" w:hAnsiTheme="majorBidi" w:cstheme="majorBidi"/>
          <w:sz w:val="20"/>
          <w:szCs w:val="20"/>
        </w:rPr>
        <w:t>knockdown</w:t>
      </w:r>
      <w:r w:rsidRPr="00650386">
        <w:rPr>
          <w:rFonts w:asciiTheme="majorBidi" w:hAnsiTheme="majorBidi" w:cstheme="majorBidi"/>
          <w:sz w:val="20"/>
          <w:szCs w:val="20"/>
        </w:rPr>
        <w:t xml:space="preserve"> of GPX4, and inhibition of cystine import. Erastin, RSL3, FIN56, and FINO2 are instances of each type, </w:t>
      </w:r>
      <w:r w:rsidR="00F206AC" w:rsidRPr="00650386">
        <w:rPr>
          <w:rFonts w:asciiTheme="majorBidi" w:hAnsiTheme="majorBidi" w:cstheme="majorBidi"/>
          <w:sz w:val="20"/>
          <w:szCs w:val="20"/>
        </w:rPr>
        <w:t>respectively</w:t>
      </w:r>
      <w:r w:rsidR="00F206AC">
        <w:rPr>
          <w:rFonts w:asciiTheme="majorBidi" w:hAnsiTheme="majorBidi" w:cstheme="majorBidi"/>
          <w:sz w:val="20"/>
          <w:szCs w:val="20"/>
        </w:rPr>
        <w:t xml:space="preserve"> (</w:t>
      </w:r>
      <w:r w:rsidR="007662F0">
        <w:rPr>
          <w:rFonts w:asciiTheme="majorBidi" w:hAnsiTheme="majorBidi" w:cstheme="majorBidi"/>
          <w:sz w:val="20"/>
          <w:szCs w:val="20"/>
        </w:rPr>
        <w:t xml:space="preserve">18). </w:t>
      </w:r>
      <w:r w:rsidR="00F206AC" w:rsidRPr="00F206AC">
        <w:rPr>
          <w:rFonts w:asciiTheme="majorBidi" w:hAnsiTheme="majorBidi" w:cstheme="majorBidi"/>
          <w:sz w:val="20"/>
          <w:szCs w:val="20"/>
        </w:rPr>
        <w:t>In recent years, several metabolic pathways have been linked to ferroptosis. Ferroptosis is distinguished by lipid peroxidation and aberrant iron accumulation, which have attracted significant attention due to their strong relationship with disorders such as ischemia-reperfusion damage (IRI), nervous system diseases, and malignancies</w:t>
      </w:r>
      <w:r w:rsidR="00F206AC">
        <w:rPr>
          <w:rFonts w:asciiTheme="majorBidi" w:hAnsiTheme="majorBidi" w:cstheme="majorBidi"/>
          <w:sz w:val="20"/>
          <w:szCs w:val="20"/>
        </w:rPr>
        <w:t xml:space="preserve"> (</w:t>
      </w:r>
      <w:r w:rsidR="00603438">
        <w:rPr>
          <w:rFonts w:asciiTheme="majorBidi" w:hAnsiTheme="majorBidi" w:cstheme="majorBidi"/>
          <w:sz w:val="20"/>
          <w:szCs w:val="20"/>
        </w:rPr>
        <w:t>19)</w:t>
      </w:r>
      <w:r w:rsidR="00F206AC">
        <w:rPr>
          <w:rFonts w:asciiTheme="majorBidi" w:hAnsiTheme="majorBidi" w:cstheme="majorBidi"/>
          <w:sz w:val="20"/>
          <w:szCs w:val="20"/>
        </w:rPr>
        <w:t>.</w:t>
      </w:r>
    </w:p>
    <w:p w14:paraId="7833C1F5" w14:textId="034B07FD" w:rsidR="00320F57" w:rsidRPr="00320F57" w:rsidRDefault="00320F57" w:rsidP="00320F57">
      <w:pPr>
        <w:spacing w:after="0" w:line="240" w:lineRule="auto"/>
        <w:jc w:val="right"/>
        <w:rPr>
          <w:rFonts w:asciiTheme="majorBidi" w:hAnsiTheme="majorBidi" w:cstheme="majorBidi"/>
          <w:sz w:val="20"/>
          <w:szCs w:val="20"/>
        </w:rPr>
      </w:pPr>
      <w:r w:rsidRPr="00557803">
        <w:rPr>
          <w:rFonts w:asciiTheme="majorBidi" w:hAnsiTheme="majorBidi" w:cstheme="majorBidi"/>
          <w:b/>
          <w:bCs/>
          <w:sz w:val="20"/>
          <w:szCs w:val="20"/>
        </w:rPr>
        <w:t xml:space="preserve">3. </w:t>
      </w:r>
      <w:r w:rsidR="00F206AC">
        <w:rPr>
          <w:rFonts w:asciiTheme="majorBidi" w:hAnsiTheme="majorBidi" w:cstheme="majorBidi"/>
          <w:b/>
          <w:bCs/>
          <w:sz w:val="20"/>
          <w:szCs w:val="20"/>
        </w:rPr>
        <w:t>C</w:t>
      </w:r>
      <w:r w:rsidRPr="00557803">
        <w:rPr>
          <w:rFonts w:asciiTheme="majorBidi" w:hAnsiTheme="majorBidi" w:cstheme="majorBidi"/>
          <w:b/>
          <w:bCs/>
          <w:sz w:val="20"/>
          <w:szCs w:val="20"/>
        </w:rPr>
        <w:t>oronary atherosclerosis</w:t>
      </w:r>
    </w:p>
    <w:p w14:paraId="28A7A203" w14:textId="28609C81" w:rsidR="00557803" w:rsidRPr="00946D85" w:rsidRDefault="00D2049D" w:rsidP="00946D85">
      <w:pPr>
        <w:bidi w:val="0"/>
        <w:jc w:val="both"/>
        <w:rPr>
          <w:rFonts w:asciiTheme="majorBidi" w:hAnsiTheme="majorBidi" w:cstheme="majorBidi"/>
          <w:sz w:val="20"/>
          <w:szCs w:val="20"/>
        </w:rPr>
      </w:pPr>
      <w:r w:rsidRPr="00D2049D">
        <w:rPr>
          <w:rFonts w:asciiTheme="majorBidi" w:hAnsiTheme="majorBidi" w:cstheme="majorBidi"/>
          <w:sz w:val="20"/>
          <w:szCs w:val="20"/>
        </w:rPr>
        <w:t>In Western countries, coronary heart disease is a significant cause of mortality</w:t>
      </w:r>
      <w:r>
        <w:rPr>
          <w:rFonts w:asciiTheme="majorBidi" w:hAnsiTheme="majorBidi" w:cstheme="majorBidi"/>
          <w:sz w:val="20"/>
          <w:szCs w:val="20"/>
        </w:rPr>
        <w:t xml:space="preserve"> </w:t>
      </w:r>
      <w:r w:rsidR="00320F57" w:rsidRPr="00320F57">
        <w:rPr>
          <w:rFonts w:asciiTheme="majorBidi" w:hAnsiTheme="majorBidi" w:cstheme="majorBidi"/>
          <w:sz w:val="20"/>
          <w:szCs w:val="20"/>
        </w:rPr>
        <w:t xml:space="preserve">(20). </w:t>
      </w:r>
      <w:r w:rsidR="00F206AC" w:rsidRPr="00F206AC">
        <w:rPr>
          <w:rFonts w:asciiTheme="majorBidi" w:hAnsiTheme="majorBidi" w:cstheme="majorBidi"/>
          <w:sz w:val="20"/>
          <w:szCs w:val="20"/>
        </w:rPr>
        <w:t>Atherosclerosis is the primary cause of coronary heart disease, which can result in fatal complications like acute myocardial infarction and sudden cardiac death due to thrombosis</w:t>
      </w:r>
      <w:r w:rsidR="00F206AC">
        <w:rPr>
          <w:rFonts w:asciiTheme="majorBidi" w:hAnsiTheme="majorBidi" w:cstheme="majorBidi"/>
          <w:sz w:val="20"/>
          <w:szCs w:val="20"/>
        </w:rPr>
        <w:t xml:space="preserve"> </w:t>
      </w:r>
      <w:r w:rsidR="00603438" w:rsidRPr="00946D85">
        <w:rPr>
          <w:rFonts w:asciiTheme="majorBidi" w:hAnsiTheme="majorBidi" w:cstheme="majorBidi"/>
          <w:sz w:val="20"/>
          <w:szCs w:val="20"/>
        </w:rPr>
        <w:t>(21)</w:t>
      </w:r>
      <w:r w:rsidR="00F206AC" w:rsidRPr="00946D85">
        <w:rPr>
          <w:rFonts w:asciiTheme="majorBidi" w:hAnsiTheme="majorBidi" w:cstheme="majorBidi"/>
          <w:sz w:val="20"/>
          <w:szCs w:val="20"/>
        </w:rPr>
        <w:t>.</w:t>
      </w:r>
      <w:r w:rsidR="00603438" w:rsidRPr="00946D85">
        <w:rPr>
          <w:rFonts w:asciiTheme="majorBidi" w:hAnsiTheme="majorBidi" w:cstheme="majorBidi"/>
          <w:sz w:val="20"/>
          <w:szCs w:val="20"/>
        </w:rPr>
        <w:t xml:space="preserve"> </w:t>
      </w:r>
      <w:r w:rsidR="00F206AC" w:rsidRPr="00946D85">
        <w:rPr>
          <w:rFonts w:asciiTheme="majorBidi" w:hAnsiTheme="majorBidi" w:cstheme="majorBidi"/>
          <w:sz w:val="20"/>
          <w:szCs w:val="20"/>
        </w:rPr>
        <w:t xml:space="preserve">Coronary atherosclerosis starts with early intimal hyperplasia near the branch sites. These lesions can be seen from birth and can lead to pathological intimal thickening (PIT). The infiltration of macrophages into PIT's lipid pools </w:t>
      </w:r>
      <w:r w:rsidR="00F206AC" w:rsidRPr="00946D85">
        <w:rPr>
          <w:rFonts w:asciiTheme="majorBidi" w:hAnsiTheme="majorBidi" w:cstheme="majorBidi"/>
          <w:sz w:val="20"/>
          <w:szCs w:val="20"/>
        </w:rPr>
        <w:t>relates to</w:t>
      </w:r>
      <w:r w:rsidR="00F206AC" w:rsidRPr="00946D85">
        <w:rPr>
          <w:rFonts w:asciiTheme="majorBidi" w:hAnsiTheme="majorBidi" w:cstheme="majorBidi"/>
          <w:sz w:val="20"/>
          <w:szCs w:val="20"/>
        </w:rPr>
        <w:t xml:space="preserve"> the shift of lipid pools to the necrotic core, resulting in fibroatheroma. </w:t>
      </w:r>
      <w:r w:rsidR="00946D85" w:rsidRPr="00946D85">
        <w:rPr>
          <w:rFonts w:asciiTheme="majorBidi" w:hAnsiTheme="majorBidi" w:cstheme="majorBidi"/>
          <w:sz w:val="20"/>
          <w:szCs w:val="20"/>
        </w:rPr>
        <w:t xml:space="preserve">The ongoing expansion of the necrotic core, combined with the progressive thinning of the fibrous cap, leads to the development of </w:t>
      </w:r>
      <w:r w:rsidR="00946D85" w:rsidRPr="00946D85">
        <w:rPr>
          <w:rFonts w:asciiTheme="majorBidi" w:hAnsiTheme="majorBidi" w:cstheme="majorBidi"/>
          <w:sz w:val="20"/>
          <w:szCs w:val="20"/>
        </w:rPr>
        <w:t>thin cap</w:t>
      </w:r>
      <w:r w:rsidR="00946D85" w:rsidRPr="00946D85">
        <w:rPr>
          <w:rFonts w:asciiTheme="majorBidi" w:hAnsiTheme="majorBidi" w:cstheme="majorBidi"/>
          <w:sz w:val="20"/>
          <w:szCs w:val="20"/>
        </w:rPr>
        <w:t xml:space="preserve"> fibroatheroma, which is considered a precursor to plaque rupture.</w:t>
      </w:r>
      <w:r w:rsidR="00946D85" w:rsidRPr="00946D85">
        <w:rPr>
          <w:rFonts w:asciiTheme="majorBidi" w:hAnsiTheme="majorBidi" w:cstheme="majorBidi"/>
          <w:sz w:val="20"/>
          <w:szCs w:val="20"/>
        </w:rPr>
        <w:t xml:space="preserve"> </w:t>
      </w:r>
      <w:r w:rsidR="00F206AC" w:rsidRPr="00946D85">
        <w:rPr>
          <w:rFonts w:asciiTheme="majorBidi" w:hAnsiTheme="majorBidi" w:cstheme="majorBidi"/>
          <w:sz w:val="20"/>
          <w:szCs w:val="20"/>
        </w:rPr>
        <w:t>Plaque progression is usually accompanied by calcification, and the necrotic core and surrounding tissue may eventually calcify to create fibrocalcific plaques</w:t>
      </w:r>
      <w:r w:rsidR="00F206AC" w:rsidRPr="00946D85">
        <w:rPr>
          <w:rFonts w:asciiTheme="majorBidi" w:hAnsiTheme="majorBidi" w:cstheme="majorBidi"/>
          <w:sz w:val="20"/>
          <w:szCs w:val="20"/>
        </w:rPr>
        <w:t xml:space="preserve"> </w:t>
      </w:r>
      <w:r w:rsidR="00557803" w:rsidRPr="00946D85">
        <w:rPr>
          <w:rFonts w:asciiTheme="majorBidi" w:hAnsiTheme="majorBidi" w:cstheme="majorBidi"/>
          <w:sz w:val="20"/>
          <w:szCs w:val="20"/>
        </w:rPr>
        <w:t>(22)</w:t>
      </w:r>
      <w:r w:rsidR="00F206AC" w:rsidRPr="00946D85">
        <w:rPr>
          <w:rFonts w:asciiTheme="majorBidi" w:hAnsiTheme="majorBidi" w:cstheme="majorBidi"/>
          <w:sz w:val="20"/>
          <w:szCs w:val="20"/>
        </w:rPr>
        <w:t>.</w:t>
      </w:r>
    </w:p>
    <w:p w14:paraId="0FCFD529" w14:textId="335A1692" w:rsidR="00557803" w:rsidRPr="00557803" w:rsidRDefault="00557803" w:rsidP="00215A93">
      <w:pPr>
        <w:spacing w:after="0" w:line="240" w:lineRule="auto"/>
        <w:jc w:val="right"/>
        <w:rPr>
          <w:rFonts w:asciiTheme="majorBidi" w:hAnsiTheme="majorBidi" w:cstheme="majorBidi"/>
          <w:b/>
          <w:bCs/>
          <w:sz w:val="20"/>
          <w:szCs w:val="20"/>
        </w:rPr>
      </w:pPr>
      <w:r w:rsidRPr="00557803">
        <w:rPr>
          <w:rFonts w:asciiTheme="majorBidi" w:hAnsiTheme="majorBidi" w:cstheme="majorBidi"/>
          <w:b/>
          <w:bCs/>
          <w:sz w:val="20"/>
          <w:szCs w:val="20"/>
        </w:rPr>
        <w:t xml:space="preserve">4. </w:t>
      </w:r>
      <w:r w:rsidR="00215A93" w:rsidRPr="00215A93">
        <w:rPr>
          <w:rFonts w:asciiTheme="majorBidi" w:hAnsiTheme="majorBidi" w:cstheme="majorBidi"/>
          <w:b/>
          <w:bCs/>
          <w:sz w:val="20"/>
          <w:szCs w:val="20"/>
        </w:rPr>
        <w:t>Tβ4 as an Anti-Ferroptotic Agent</w:t>
      </w:r>
    </w:p>
    <w:p w14:paraId="171842F0" w14:textId="1E23DD67" w:rsidR="00F206AC" w:rsidRDefault="00F206AC" w:rsidP="00F206AC">
      <w:pPr>
        <w:bidi w:val="0"/>
        <w:spacing w:after="0" w:line="240" w:lineRule="auto"/>
        <w:jc w:val="both"/>
        <w:rPr>
          <w:rFonts w:asciiTheme="majorBidi" w:hAnsiTheme="majorBidi" w:cstheme="majorBidi"/>
          <w:sz w:val="20"/>
          <w:szCs w:val="20"/>
        </w:rPr>
      </w:pPr>
      <w:r w:rsidRPr="00F206AC">
        <w:rPr>
          <w:rFonts w:asciiTheme="majorBidi" w:hAnsiTheme="majorBidi" w:cstheme="majorBidi"/>
          <w:sz w:val="20"/>
          <w:szCs w:val="20"/>
        </w:rPr>
        <w:t>Tβ4, an endogenous iron chelator, affects anti-oxidative activities associated to free iron ions and ROS generation in Fenton reaction</w:t>
      </w:r>
      <w:r>
        <w:rPr>
          <w:rFonts w:asciiTheme="majorBidi" w:hAnsiTheme="majorBidi" w:cstheme="majorBidi"/>
          <w:sz w:val="20"/>
          <w:szCs w:val="20"/>
        </w:rPr>
        <w:t xml:space="preserve"> </w:t>
      </w:r>
      <w:r w:rsidR="00557803">
        <w:rPr>
          <w:rFonts w:asciiTheme="majorBidi" w:hAnsiTheme="majorBidi" w:cstheme="majorBidi"/>
          <w:sz w:val="20"/>
          <w:szCs w:val="20"/>
        </w:rPr>
        <w:t>(23)</w:t>
      </w:r>
      <w:r>
        <w:rPr>
          <w:rFonts w:asciiTheme="majorBidi" w:hAnsiTheme="majorBidi" w:cstheme="majorBidi"/>
          <w:sz w:val="20"/>
          <w:szCs w:val="20"/>
        </w:rPr>
        <w:t>.</w:t>
      </w:r>
      <w:r w:rsidRPr="00F206AC">
        <w:t xml:space="preserve"> </w:t>
      </w:r>
      <w:r w:rsidRPr="00F206AC">
        <w:rPr>
          <w:rFonts w:asciiTheme="majorBidi" w:hAnsiTheme="majorBidi" w:cstheme="majorBidi"/>
          <w:sz w:val="20"/>
          <w:szCs w:val="20"/>
        </w:rPr>
        <w:t xml:space="preserve">Tβ4 increases the expression of oxidative stress genes, including BAX, HSP70, and TRNRD-1, which are downregulated during </w:t>
      </w:r>
      <w:r w:rsidRPr="00F206AC">
        <w:rPr>
          <w:rFonts w:asciiTheme="majorBidi" w:hAnsiTheme="majorBidi" w:cstheme="majorBidi"/>
          <w:sz w:val="20"/>
          <w:szCs w:val="20"/>
        </w:rPr>
        <w:t>ferroptosis</w:t>
      </w:r>
      <w:r>
        <w:rPr>
          <w:rFonts w:asciiTheme="majorBidi" w:hAnsiTheme="majorBidi" w:cstheme="majorBidi"/>
          <w:sz w:val="20"/>
          <w:szCs w:val="20"/>
        </w:rPr>
        <w:t xml:space="preserve"> (23). </w:t>
      </w:r>
      <w:r w:rsidR="00215A93" w:rsidRPr="00215A93">
        <w:rPr>
          <w:rFonts w:ascii="Georgia" w:hAnsi="Georgia"/>
          <w:color w:val="1F1F1F"/>
        </w:rPr>
        <w:t xml:space="preserve"> </w:t>
      </w:r>
      <w:r w:rsidR="00D2049D" w:rsidRPr="00D2049D">
        <w:rPr>
          <w:rFonts w:asciiTheme="majorBidi" w:hAnsiTheme="majorBidi" w:cstheme="majorBidi"/>
          <w:sz w:val="20"/>
          <w:szCs w:val="20"/>
        </w:rPr>
        <w:t>Crucially, the ferroptosis mechanism is associated with</w:t>
      </w:r>
      <w:r w:rsidR="00946D85">
        <w:rPr>
          <w:rFonts w:asciiTheme="majorBidi" w:hAnsiTheme="majorBidi" w:cstheme="majorBidi"/>
          <w:sz w:val="20"/>
          <w:szCs w:val="20"/>
        </w:rPr>
        <w:t xml:space="preserve"> increasing</w:t>
      </w:r>
      <w:r w:rsidR="00D2049D" w:rsidRPr="00D2049D">
        <w:rPr>
          <w:rFonts w:asciiTheme="majorBidi" w:hAnsiTheme="majorBidi" w:cstheme="majorBidi"/>
          <w:sz w:val="20"/>
          <w:szCs w:val="20"/>
        </w:rPr>
        <w:t xml:space="preserve"> lipid peroxid</w:t>
      </w:r>
      <w:r w:rsidR="00946D85">
        <w:rPr>
          <w:rFonts w:asciiTheme="majorBidi" w:hAnsiTheme="majorBidi" w:cstheme="majorBidi"/>
          <w:sz w:val="20"/>
          <w:szCs w:val="20"/>
        </w:rPr>
        <w:t>es</w:t>
      </w:r>
      <w:r w:rsidR="00D2049D" w:rsidRPr="00D2049D">
        <w:rPr>
          <w:rFonts w:asciiTheme="majorBidi" w:hAnsiTheme="majorBidi" w:cstheme="majorBidi"/>
          <w:sz w:val="20"/>
          <w:szCs w:val="20"/>
        </w:rPr>
        <w:t>, which is induced by</w:t>
      </w:r>
      <w:r w:rsidR="00946D85">
        <w:rPr>
          <w:rFonts w:asciiTheme="majorBidi" w:hAnsiTheme="majorBidi" w:cstheme="majorBidi"/>
          <w:sz w:val="20"/>
          <w:szCs w:val="20"/>
        </w:rPr>
        <w:t xml:space="preserve"> ROS</w:t>
      </w:r>
      <w:r w:rsidR="00D2049D" w:rsidRPr="00D2049D">
        <w:rPr>
          <w:rFonts w:asciiTheme="majorBidi" w:hAnsiTheme="majorBidi" w:cstheme="majorBidi"/>
          <w:sz w:val="20"/>
          <w:szCs w:val="20"/>
        </w:rPr>
        <w:t>.  Therefore, it is speculated that the function of Tβ4 may be associated with the ferroptosis effect mediated by reactive oxygen specie</w:t>
      </w:r>
      <w:r w:rsidR="00662325">
        <w:rPr>
          <w:rFonts w:asciiTheme="majorBidi" w:hAnsiTheme="majorBidi" w:cstheme="majorBidi"/>
          <w:sz w:val="20"/>
          <w:szCs w:val="20"/>
        </w:rPr>
        <w:t>s (23).</w:t>
      </w:r>
      <w:r w:rsidR="00D2049D" w:rsidRPr="00D2049D">
        <w:rPr>
          <w:rFonts w:asciiTheme="majorBidi" w:hAnsiTheme="majorBidi" w:cstheme="majorBidi"/>
          <w:sz w:val="20"/>
          <w:szCs w:val="20"/>
        </w:rPr>
        <w:t xml:space="preserve">  </w:t>
      </w:r>
    </w:p>
    <w:p w14:paraId="54205087" w14:textId="792F5387" w:rsidR="00F206AC" w:rsidRDefault="00946D85" w:rsidP="00F206AC">
      <w:pPr>
        <w:bidi w:val="0"/>
        <w:spacing w:after="0" w:line="240" w:lineRule="auto"/>
        <w:jc w:val="both"/>
        <w:rPr>
          <w:rFonts w:asciiTheme="majorBidi" w:hAnsiTheme="majorBidi" w:cstheme="majorBidi"/>
          <w:sz w:val="20"/>
          <w:szCs w:val="20"/>
        </w:rPr>
      </w:pPr>
      <w:r>
        <w:rPr>
          <w:rFonts w:asciiTheme="majorBidi" w:hAnsiTheme="majorBidi" w:cstheme="majorBidi"/>
          <w:sz w:val="20"/>
          <w:szCs w:val="20"/>
        </w:rPr>
        <w:t xml:space="preserve">It is found that </w:t>
      </w:r>
      <w:r w:rsidR="00F206AC" w:rsidRPr="00F206AC">
        <w:rPr>
          <w:rFonts w:asciiTheme="majorBidi" w:hAnsiTheme="majorBidi" w:cstheme="majorBidi"/>
          <w:sz w:val="20"/>
          <w:szCs w:val="20"/>
        </w:rPr>
        <w:t xml:space="preserve">Tβ4 is released by various cells, including platelets and macrophages, and has anti-inflammatory effects by reducing the number of inflammatory cells and downregulating the expression of inflammatory factors </w:t>
      </w:r>
      <w:r w:rsidR="00F206AC" w:rsidRPr="00F206AC">
        <w:rPr>
          <w:rFonts w:asciiTheme="majorBidi" w:hAnsiTheme="majorBidi" w:cstheme="majorBidi"/>
          <w:sz w:val="20"/>
          <w:szCs w:val="20"/>
        </w:rPr>
        <w:t xml:space="preserve">like TNF-α, IL-1β, and IL-6. It also </w:t>
      </w:r>
      <w:r>
        <w:rPr>
          <w:rFonts w:asciiTheme="majorBidi" w:hAnsiTheme="majorBidi" w:cstheme="majorBidi"/>
          <w:sz w:val="20"/>
          <w:szCs w:val="20"/>
        </w:rPr>
        <w:t>blocks</w:t>
      </w:r>
      <w:r w:rsidR="00F206AC" w:rsidRPr="00F206AC">
        <w:rPr>
          <w:rFonts w:asciiTheme="majorBidi" w:hAnsiTheme="majorBidi" w:cstheme="majorBidi"/>
          <w:sz w:val="20"/>
          <w:szCs w:val="20"/>
        </w:rPr>
        <w:t xml:space="preserve"> the expression of nuclear factor-κB </w:t>
      </w:r>
      <w:r w:rsidR="00F206AC">
        <w:rPr>
          <w:rFonts w:asciiTheme="majorBidi" w:hAnsiTheme="majorBidi" w:cstheme="majorBidi"/>
          <w:sz w:val="20"/>
          <w:szCs w:val="20"/>
        </w:rPr>
        <w:t>(24).</w:t>
      </w:r>
    </w:p>
    <w:p w14:paraId="3FAC3AFD" w14:textId="68C93617" w:rsidR="00320F57" w:rsidRDefault="00A53236" w:rsidP="00F206AC">
      <w:pPr>
        <w:bidi w:val="0"/>
        <w:spacing w:after="0" w:line="240" w:lineRule="auto"/>
        <w:jc w:val="both"/>
        <w:rPr>
          <w:rFonts w:asciiTheme="majorBidi" w:hAnsiTheme="majorBidi" w:cstheme="majorBidi"/>
          <w:sz w:val="20"/>
          <w:szCs w:val="20"/>
        </w:rPr>
      </w:pPr>
      <w:r w:rsidRPr="00A53236">
        <w:rPr>
          <w:rFonts w:asciiTheme="majorBidi" w:hAnsiTheme="majorBidi" w:cstheme="majorBidi"/>
          <w:sz w:val="20"/>
          <w:szCs w:val="20"/>
        </w:rPr>
        <w:t>By participating in hepatocyte ferroptosis, Tβ4 regulates the oxidative stress and lipid metabolism of NAFLD</w:t>
      </w:r>
      <w:r>
        <w:rPr>
          <w:rFonts w:asciiTheme="majorBidi" w:hAnsiTheme="majorBidi" w:cstheme="majorBidi" w:hint="cs"/>
          <w:sz w:val="20"/>
          <w:szCs w:val="20"/>
          <w:rtl/>
        </w:rPr>
        <w:t xml:space="preserve"> </w:t>
      </w:r>
      <w:r w:rsidR="00215A93">
        <w:rPr>
          <w:rFonts w:asciiTheme="majorBidi" w:hAnsiTheme="majorBidi" w:cstheme="majorBidi"/>
          <w:sz w:val="20"/>
          <w:szCs w:val="20"/>
        </w:rPr>
        <w:t>(2</w:t>
      </w:r>
      <w:r w:rsidR="00F206AC">
        <w:rPr>
          <w:rFonts w:asciiTheme="majorBidi" w:hAnsiTheme="majorBidi" w:cstheme="majorBidi"/>
          <w:sz w:val="20"/>
          <w:szCs w:val="20"/>
        </w:rPr>
        <w:t>5</w:t>
      </w:r>
      <w:r w:rsidR="00215A93">
        <w:rPr>
          <w:rFonts w:asciiTheme="majorBidi" w:hAnsiTheme="majorBidi" w:cstheme="majorBidi"/>
          <w:sz w:val="20"/>
          <w:szCs w:val="20"/>
        </w:rPr>
        <w:t>)</w:t>
      </w:r>
      <w:r w:rsidR="00D14553" w:rsidRPr="00D14553">
        <w:rPr>
          <w:rFonts w:ascii="Helvetica" w:hAnsi="Helvetica" w:cs="Helvetica"/>
          <w:color w:val="282828"/>
          <w:shd w:val="clear" w:color="auto" w:fill="F7F7F7"/>
        </w:rPr>
        <w:t xml:space="preserve"> </w:t>
      </w:r>
      <w:r w:rsidRPr="00A53236">
        <w:rPr>
          <w:rFonts w:asciiTheme="majorBidi" w:hAnsiTheme="majorBidi" w:cstheme="majorBidi"/>
          <w:sz w:val="20"/>
          <w:szCs w:val="20"/>
        </w:rPr>
        <w:t xml:space="preserve">By inhibiting ROS production and enhancing cellular survival pathways, </w:t>
      </w:r>
      <w:bookmarkStart w:id="8" w:name="_Hlk199023598"/>
      <w:r w:rsidRPr="00A53236">
        <w:rPr>
          <w:rFonts w:asciiTheme="majorBidi" w:hAnsiTheme="majorBidi" w:cstheme="majorBidi"/>
          <w:sz w:val="20"/>
          <w:szCs w:val="20"/>
        </w:rPr>
        <w:t>Tβ4 has been shown to have anti-apoptotic and antioxidant effects in previous research</w:t>
      </w:r>
      <w:r>
        <w:rPr>
          <w:rFonts w:asciiTheme="majorBidi" w:hAnsiTheme="majorBidi" w:cstheme="majorBidi" w:hint="cs"/>
          <w:sz w:val="20"/>
          <w:szCs w:val="20"/>
          <w:rtl/>
        </w:rPr>
        <w:t xml:space="preserve"> </w:t>
      </w:r>
      <w:bookmarkEnd w:id="8"/>
      <w:r w:rsidR="00D14553">
        <w:rPr>
          <w:rFonts w:asciiTheme="majorBidi" w:hAnsiTheme="majorBidi" w:cstheme="majorBidi"/>
          <w:sz w:val="20"/>
          <w:szCs w:val="20"/>
        </w:rPr>
        <w:t>(2</w:t>
      </w:r>
      <w:r w:rsidR="00F206AC">
        <w:rPr>
          <w:rFonts w:asciiTheme="majorBidi" w:hAnsiTheme="majorBidi" w:cstheme="majorBidi"/>
          <w:sz w:val="20"/>
          <w:szCs w:val="20"/>
        </w:rPr>
        <w:t>6</w:t>
      </w:r>
      <w:r w:rsidR="00D14553">
        <w:rPr>
          <w:rFonts w:asciiTheme="majorBidi" w:hAnsiTheme="majorBidi" w:cstheme="majorBidi"/>
          <w:sz w:val="20"/>
          <w:szCs w:val="20"/>
        </w:rPr>
        <w:t>).</w:t>
      </w:r>
      <w:r w:rsidR="00D2049D" w:rsidRPr="00D2049D">
        <w:t xml:space="preserve"> </w:t>
      </w:r>
      <w:r w:rsidR="00D2049D" w:rsidRPr="00D2049D">
        <w:rPr>
          <w:rFonts w:asciiTheme="majorBidi" w:hAnsiTheme="majorBidi" w:cstheme="majorBidi"/>
          <w:sz w:val="20"/>
          <w:szCs w:val="20"/>
        </w:rPr>
        <w:t>This hypothesis has been recently confirmed by research that has shown that Tβ4 treatment reduces inflammation, enhances antioxidant defenses, and increases GPX4 expression in NAFLD rodents that have been induced by a high-fat diet (HFD).   By combining these effects, liver function is improved and ferroptosis is inhibited</w:t>
      </w:r>
      <w:r w:rsidR="00D2049D">
        <w:rPr>
          <w:rFonts w:asciiTheme="majorBidi" w:hAnsiTheme="majorBidi" w:cstheme="majorBidi"/>
          <w:sz w:val="20"/>
          <w:szCs w:val="20"/>
        </w:rPr>
        <w:t xml:space="preserve"> </w:t>
      </w:r>
      <w:r w:rsidR="00D14553">
        <w:rPr>
          <w:rFonts w:asciiTheme="majorBidi" w:hAnsiTheme="majorBidi" w:cstheme="majorBidi"/>
          <w:sz w:val="20"/>
          <w:szCs w:val="20"/>
        </w:rPr>
        <w:t>(2</w:t>
      </w:r>
      <w:r w:rsidR="00F206AC">
        <w:rPr>
          <w:rFonts w:asciiTheme="majorBidi" w:hAnsiTheme="majorBidi" w:cstheme="majorBidi"/>
          <w:sz w:val="20"/>
          <w:szCs w:val="20"/>
        </w:rPr>
        <w:t>6</w:t>
      </w:r>
      <w:r w:rsidR="00D14553">
        <w:rPr>
          <w:rFonts w:asciiTheme="majorBidi" w:hAnsiTheme="majorBidi" w:cstheme="majorBidi"/>
          <w:sz w:val="20"/>
          <w:szCs w:val="20"/>
        </w:rPr>
        <w:t>).</w:t>
      </w:r>
    </w:p>
    <w:p w14:paraId="6FCBE19A" w14:textId="707E26E2" w:rsidR="00320F57" w:rsidRPr="00F206AC" w:rsidRDefault="00D14553" w:rsidP="00F206AC">
      <w:pPr>
        <w:bidi w:val="0"/>
        <w:spacing w:after="0" w:line="240" w:lineRule="auto"/>
        <w:jc w:val="both"/>
        <w:rPr>
          <w:rFonts w:ascii="Georgia" w:hAnsi="Georgia"/>
          <w:b/>
          <w:bCs/>
          <w:color w:val="1F1F1F"/>
        </w:rPr>
      </w:pPr>
      <w:r w:rsidRPr="009B50E0">
        <w:rPr>
          <w:rFonts w:asciiTheme="majorBidi" w:hAnsiTheme="majorBidi" w:cstheme="majorBidi"/>
          <w:b/>
          <w:bCs/>
          <w:sz w:val="20"/>
          <w:szCs w:val="20"/>
        </w:rPr>
        <w:t xml:space="preserve">5. </w:t>
      </w:r>
      <w:r w:rsidRPr="00D14553">
        <w:rPr>
          <w:rFonts w:asciiTheme="majorBidi" w:hAnsiTheme="majorBidi" w:cstheme="majorBidi"/>
          <w:b/>
          <w:bCs/>
          <w:sz w:val="20"/>
          <w:szCs w:val="20"/>
        </w:rPr>
        <w:t>Tβ4 and Atherosclerotic Plaques</w:t>
      </w:r>
    </w:p>
    <w:p w14:paraId="174FDC22" w14:textId="54562814" w:rsidR="00A67A51" w:rsidRDefault="00A67A51" w:rsidP="00F206AC">
      <w:pPr>
        <w:bidi w:val="0"/>
        <w:spacing w:after="0" w:line="240" w:lineRule="auto"/>
        <w:jc w:val="both"/>
        <w:rPr>
          <w:rFonts w:asciiTheme="majorBidi" w:hAnsiTheme="majorBidi" w:cstheme="majorBidi"/>
          <w:sz w:val="20"/>
          <w:szCs w:val="20"/>
        </w:rPr>
      </w:pPr>
      <w:r w:rsidRPr="00A67A51">
        <w:rPr>
          <w:rFonts w:asciiTheme="majorBidi" w:hAnsiTheme="majorBidi" w:cstheme="majorBidi"/>
          <w:sz w:val="20"/>
          <w:szCs w:val="20"/>
        </w:rPr>
        <w:t>In pathological settings, such as acute myocardial ischemia, Tβ4 has demonstrated potent cardioprotective effects. Experimental studies show that administration of Tβ4 reduces infarct size, suppresses inflammatory responses, and improves cardiac function following ischemic injury</w:t>
      </w:r>
      <w:r w:rsidR="00F206AC">
        <w:rPr>
          <w:rFonts w:asciiTheme="majorBidi" w:hAnsiTheme="majorBidi" w:cstheme="majorBidi"/>
          <w:sz w:val="20"/>
          <w:szCs w:val="20"/>
        </w:rPr>
        <w:t xml:space="preserve"> (27) </w:t>
      </w:r>
      <w:r w:rsidRPr="00A67A51">
        <w:rPr>
          <w:rFonts w:asciiTheme="majorBidi" w:hAnsiTheme="majorBidi" w:cstheme="majorBidi"/>
          <w:sz w:val="20"/>
          <w:szCs w:val="20"/>
        </w:rPr>
        <w:t>In chronic myocardial ischemia, long-term overexpression of Tβ4 has been associated with enhanced angiogenesis, vessel maturation, and collateral vessel formation. These effects collectively improve myocardial perfusion and contribute to better functional outcomes, suggesting a promising therapeutic role for Tβ4 in both acute and chronic ischemic conditions</w:t>
      </w:r>
      <w:r>
        <w:rPr>
          <w:rFonts w:asciiTheme="majorBidi" w:hAnsiTheme="majorBidi" w:cstheme="majorBidi"/>
          <w:sz w:val="20"/>
          <w:szCs w:val="20"/>
        </w:rPr>
        <w:t xml:space="preserve"> (2</w:t>
      </w:r>
      <w:r w:rsidR="00F206AC">
        <w:rPr>
          <w:rFonts w:asciiTheme="majorBidi" w:hAnsiTheme="majorBidi" w:cstheme="majorBidi"/>
          <w:sz w:val="20"/>
          <w:szCs w:val="20"/>
        </w:rPr>
        <w:t>8</w:t>
      </w:r>
      <w:r>
        <w:rPr>
          <w:rFonts w:asciiTheme="majorBidi" w:hAnsiTheme="majorBidi" w:cstheme="majorBidi"/>
          <w:sz w:val="20"/>
          <w:szCs w:val="20"/>
        </w:rPr>
        <w:t>).</w:t>
      </w:r>
      <w:r w:rsidRPr="00A67A51">
        <w:rPr>
          <w:rFonts w:ascii="Helvetica" w:hAnsi="Helvetica" w:cs="Helvetica"/>
          <w:color w:val="2E2E2E"/>
          <w:shd w:val="clear" w:color="auto" w:fill="FFFFFF"/>
        </w:rPr>
        <w:t xml:space="preserve"> </w:t>
      </w:r>
      <w:r w:rsidR="00D2049D" w:rsidRPr="00D2049D">
        <w:rPr>
          <w:rFonts w:asciiTheme="majorBidi" w:hAnsiTheme="majorBidi" w:cstheme="majorBidi"/>
          <w:sz w:val="20"/>
          <w:szCs w:val="20"/>
        </w:rPr>
        <w:t>It has been demonstrated in previous research that the regional application of Tβ4 through a recombinant adeno-associated viral vector may be a viable approach to vascular gene therapy</w:t>
      </w:r>
      <w:r w:rsidR="00D2049D">
        <w:rPr>
          <w:rFonts w:asciiTheme="majorBidi" w:hAnsiTheme="majorBidi" w:cstheme="majorBidi"/>
          <w:sz w:val="20"/>
          <w:szCs w:val="20"/>
        </w:rPr>
        <w:t xml:space="preserve"> </w:t>
      </w:r>
      <w:r>
        <w:rPr>
          <w:rFonts w:asciiTheme="majorBidi" w:hAnsiTheme="majorBidi" w:cstheme="majorBidi"/>
          <w:sz w:val="20"/>
          <w:szCs w:val="20"/>
        </w:rPr>
        <w:t>(2</w:t>
      </w:r>
      <w:r w:rsidR="00F206AC">
        <w:rPr>
          <w:rFonts w:asciiTheme="majorBidi" w:hAnsiTheme="majorBidi" w:cstheme="majorBidi"/>
          <w:sz w:val="20"/>
          <w:szCs w:val="20"/>
        </w:rPr>
        <w:t>9</w:t>
      </w:r>
      <w:r>
        <w:rPr>
          <w:rFonts w:asciiTheme="majorBidi" w:hAnsiTheme="majorBidi" w:cstheme="majorBidi"/>
          <w:sz w:val="20"/>
          <w:szCs w:val="20"/>
        </w:rPr>
        <w:t>)</w:t>
      </w:r>
      <w:r w:rsidR="009B50E0">
        <w:rPr>
          <w:rFonts w:asciiTheme="majorBidi" w:hAnsiTheme="majorBidi" w:cstheme="majorBidi"/>
          <w:sz w:val="20"/>
          <w:szCs w:val="20"/>
        </w:rPr>
        <w:t>.</w:t>
      </w:r>
      <w:r w:rsidR="009B50E0" w:rsidRPr="009B50E0">
        <w:rPr>
          <w:rFonts w:asciiTheme="majorBidi" w:hAnsiTheme="majorBidi" w:cstheme="majorBidi"/>
          <w:sz w:val="20"/>
          <w:szCs w:val="20"/>
        </w:rPr>
        <w:t xml:space="preserve"> </w:t>
      </w:r>
      <w:r w:rsidR="00330286" w:rsidRPr="00330286">
        <w:rPr>
          <w:rFonts w:asciiTheme="majorBidi" w:hAnsiTheme="majorBidi" w:cstheme="majorBidi"/>
          <w:sz w:val="20"/>
          <w:szCs w:val="20"/>
        </w:rPr>
        <w:t>In the context of myocardial infarction, recent research has shown that Tβ4 treatment improves cardiac function by activating Akt phosphorylation, promoting the ILK-Pinch-Parvin complex</w:t>
      </w:r>
      <w:r w:rsidR="00F206AC" w:rsidRPr="00F206AC">
        <w:t xml:space="preserve"> </w:t>
      </w:r>
      <w:r w:rsidR="00F206AC">
        <w:t>(</w:t>
      </w:r>
      <w:r w:rsidR="00F206AC" w:rsidRPr="00F206AC">
        <w:rPr>
          <w:rFonts w:asciiTheme="majorBidi" w:hAnsiTheme="majorBidi" w:cstheme="majorBidi"/>
          <w:sz w:val="20"/>
          <w:szCs w:val="20"/>
        </w:rPr>
        <w:t>ILK (Integrin-linked kinase), Pinch, and Parvin work together to regulate cell adhesion, survival, and cytoskeletal organization</w:t>
      </w:r>
      <w:r w:rsidR="00F206AC">
        <w:rPr>
          <w:rFonts w:asciiTheme="majorBidi" w:hAnsiTheme="majorBidi" w:cstheme="majorBidi"/>
          <w:sz w:val="20"/>
          <w:szCs w:val="20"/>
        </w:rPr>
        <w:t>)</w:t>
      </w:r>
      <w:r w:rsidR="00330286" w:rsidRPr="00330286">
        <w:rPr>
          <w:rFonts w:asciiTheme="majorBidi" w:hAnsiTheme="majorBidi" w:cstheme="majorBidi"/>
          <w:sz w:val="20"/>
          <w:szCs w:val="20"/>
        </w:rPr>
        <w:t>, and suppressing NF-κB.</w:t>
      </w:r>
      <w:r w:rsidR="00330286">
        <w:rPr>
          <w:rFonts w:asciiTheme="majorBidi" w:hAnsiTheme="majorBidi" w:cstheme="majorBidi" w:hint="cs"/>
          <w:sz w:val="20"/>
          <w:szCs w:val="20"/>
          <w:rtl/>
        </w:rPr>
        <w:t xml:space="preserve"> </w:t>
      </w:r>
      <w:r w:rsidR="00BF1034" w:rsidRPr="00BF1034">
        <w:rPr>
          <w:rFonts w:asciiTheme="majorBidi" w:hAnsiTheme="majorBidi" w:cstheme="majorBidi"/>
          <w:sz w:val="20"/>
          <w:szCs w:val="20"/>
        </w:rPr>
        <w:t xml:space="preserve">The fundamental mechanisms of Tβ4's protective function in cardiac injuries are consistent with this. Furthermore, Tβ4 safeguards cardiac fibroblasts from oxidative injury caused by H2O2 by selectively increasing catalase, </w:t>
      </w:r>
      <w:r w:rsidR="00F206AC" w:rsidRPr="00F206AC">
        <w:rPr>
          <w:rFonts w:asciiTheme="majorBidi" w:hAnsiTheme="majorBidi" w:cstheme="majorBidi"/>
          <w:sz w:val="20"/>
          <w:szCs w:val="20"/>
        </w:rPr>
        <w:t>Cu/Zn Superoxide Dismutase</w:t>
      </w:r>
      <w:r w:rsidR="00BF1034" w:rsidRPr="00BF1034">
        <w:rPr>
          <w:rFonts w:asciiTheme="majorBidi" w:hAnsiTheme="majorBidi" w:cstheme="majorBidi"/>
          <w:sz w:val="20"/>
          <w:szCs w:val="20"/>
        </w:rPr>
        <w:t xml:space="preserve">, and Bcl2 </w:t>
      </w:r>
      <w:r w:rsidR="009B50E0">
        <w:rPr>
          <w:rFonts w:asciiTheme="majorBidi" w:hAnsiTheme="majorBidi" w:cstheme="majorBidi"/>
          <w:sz w:val="20"/>
          <w:szCs w:val="20"/>
        </w:rPr>
        <w:t>(</w:t>
      </w:r>
      <w:r w:rsidR="00F206AC">
        <w:rPr>
          <w:rFonts w:asciiTheme="majorBidi" w:hAnsiTheme="majorBidi" w:cstheme="majorBidi"/>
          <w:sz w:val="20"/>
          <w:szCs w:val="20"/>
        </w:rPr>
        <w:t>30</w:t>
      </w:r>
      <w:r w:rsidR="009B50E0">
        <w:rPr>
          <w:rFonts w:asciiTheme="majorBidi" w:hAnsiTheme="majorBidi" w:cstheme="majorBidi"/>
          <w:sz w:val="20"/>
          <w:szCs w:val="20"/>
        </w:rPr>
        <w:t>).</w:t>
      </w:r>
    </w:p>
    <w:p w14:paraId="6AD6A4FE" w14:textId="77777777" w:rsidR="009B50E0" w:rsidRPr="009B50E0" w:rsidRDefault="009B50E0" w:rsidP="009B50E0">
      <w:pPr>
        <w:bidi w:val="0"/>
        <w:spacing w:after="0" w:line="240" w:lineRule="auto"/>
        <w:rPr>
          <w:rFonts w:asciiTheme="majorBidi" w:hAnsiTheme="majorBidi" w:cstheme="majorBidi"/>
          <w:b/>
          <w:bCs/>
          <w:sz w:val="20"/>
          <w:szCs w:val="20"/>
        </w:rPr>
      </w:pPr>
      <w:r w:rsidRPr="009B50E0">
        <w:rPr>
          <w:rFonts w:asciiTheme="majorBidi" w:hAnsiTheme="majorBidi" w:cstheme="majorBidi"/>
          <w:b/>
          <w:bCs/>
          <w:sz w:val="20"/>
          <w:szCs w:val="20"/>
        </w:rPr>
        <w:t>6. Therapeutic Implications</w:t>
      </w:r>
    </w:p>
    <w:p w14:paraId="47848947" w14:textId="77777777" w:rsidR="009B50E0" w:rsidRPr="009B50E0" w:rsidRDefault="009B50E0" w:rsidP="009B50E0">
      <w:pPr>
        <w:bidi w:val="0"/>
        <w:spacing w:after="0" w:line="240" w:lineRule="auto"/>
        <w:rPr>
          <w:rFonts w:asciiTheme="majorBidi" w:hAnsiTheme="majorBidi" w:cstheme="majorBidi"/>
          <w:sz w:val="20"/>
          <w:szCs w:val="20"/>
        </w:rPr>
      </w:pPr>
      <w:r w:rsidRPr="009B50E0">
        <w:rPr>
          <w:rFonts w:asciiTheme="majorBidi" w:hAnsiTheme="majorBidi" w:cstheme="majorBidi"/>
          <w:sz w:val="20"/>
          <w:szCs w:val="20"/>
        </w:rPr>
        <w:t>Targeting ferroptosis via Tβ4 may offer:</w:t>
      </w:r>
    </w:p>
    <w:p w14:paraId="42933CF0" w14:textId="77777777" w:rsidR="009B50E0" w:rsidRPr="009B50E0" w:rsidRDefault="009B50E0" w:rsidP="009B50E0">
      <w:pPr>
        <w:pStyle w:val="ListParagraph"/>
        <w:numPr>
          <w:ilvl w:val="0"/>
          <w:numId w:val="23"/>
        </w:numPr>
        <w:bidi w:val="0"/>
        <w:spacing w:after="0" w:line="240" w:lineRule="auto"/>
        <w:rPr>
          <w:rFonts w:asciiTheme="majorBidi" w:hAnsiTheme="majorBidi" w:cstheme="majorBidi"/>
          <w:sz w:val="20"/>
          <w:szCs w:val="20"/>
        </w:rPr>
      </w:pPr>
      <w:r w:rsidRPr="009B50E0">
        <w:rPr>
          <w:rFonts w:asciiTheme="majorBidi" w:hAnsiTheme="majorBidi" w:cstheme="majorBidi"/>
          <w:sz w:val="20"/>
          <w:szCs w:val="20"/>
        </w:rPr>
        <w:t>Plaque stabilization</w:t>
      </w:r>
    </w:p>
    <w:p w14:paraId="25959C5B" w14:textId="7E01049C" w:rsidR="009B50E0" w:rsidRPr="009B50E0" w:rsidRDefault="00F206AC" w:rsidP="009B50E0">
      <w:pPr>
        <w:pStyle w:val="ListParagraph"/>
        <w:numPr>
          <w:ilvl w:val="0"/>
          <w:numId w:val="23"/>
        </w:numPr>
        <w:bidi w:val="0"/>
        <w:spacing w:after="0" w:line="240" w:lineRule="auto"/>
        <w:rPr>
          <w:rFonts w:asciiTheme="majorBidi" w:hAnsiTheme="majorBidi" w:cstheme="majorBidi"/>
          <w:sz w:val="20"/>
          <w:szCs w:val="20"/>
        </w:rPr>
      </w:pPr>
      <w:r w:rsidRPr="009B50E0">
        <w:rPr>
          <w:rFonts w:asciiTheme="majorBidi" w:hAnsiTheme="majorBidi" w:cstheme="majorBidi"/>
          <w:sz w:val="20"/>
          <w:szCs w:val="20"/>
        </w:rPr>
        <w:t>improved</w:t>
      </w:r>
      <w:r w:rsidR="009B50E0" w:rsidRPr="009B50E0">
        <w:rPr>
          <w:rFonts w:asciiTheme="majorBidi" w:hAnsiTheme="majorBidi" w:cstheme="majorBidi"/>
          <w:sz w:val="20"/>
          <w:szCs w:val="20"/>
        </w:rPr>
        <w:t xml:space="preserve"> endothelial function</w:t>
      </w:r>
    </w:p>
    <w:p w14:paraId="779C0860" w14:textId="77777777" w:rsidR="009B50E0" w:rsidRPr="009B50E0" w:rsidRDefault="009B50E0" w:rsidP="009B50E0">
      <w:pPr>
        <w:pStyle w:val="ListParagraph"/>
        <w:numPr>
          <w:ilvl w:val="0"/>
          <w:numId w:val="23"/>
        </w:numPr>
        <w:bidi w:val="0"/>
        <w:spacing w:after="0" w:line="240" w:lineRule="auto"/>
        <w:rPr>
          <w:rFonts w:asciiTheme="majorBidi" w:hAnsiTheme="majorBidi" w:cstheme="majorBidi"/>
          <w:sz w:val="20"/>
          <w:szCs w:val="20"/>
        </w:rPr>
      </w:pPr>
      <w:r w:rsidRPr="009B50E0">
        <w:rPr>
          <w:rFonts w:asciiTheme="majorBidi" w:hAnsiTheme="majorBidi" w:cstheme="majorBidi"/>
          <w:sz w:val="20"/>
          <w:szCs w:val="20"/>
        </w:rPr>
        <w:t>Reduction in oxidative stress</w:t>
      </w:r>
    </w:p>
    <w:p w14:paraId="37FA495B" w14:textId="77777777" w:rsidR="009B50E0" w:rsidRPr="009B50E0" w:rsidRDefault="009B50E0" w:rsidP="009B50E0">
      <w:pPr>
        <w:pStyle w:val="ListParagraph"/>
        <w:numPr>
          <w:ilvl w:val="0"/>
          <w:numId w:val="23"/>
        </w:numPr>
        <w:bidi w:val="0"/>
        <w:spacing w:after="0" w:line="240" w:lineRule="auto"/>
        <w:rPr>
          <w:rFonts w:asciiTheme="majorBidi" w:hAnsiTheme="majorBidi" w:cstheme="majorBidi"/>
          <w:sz w:val="20"/>
          <w:szCs w:val="20"/>
        </w:rPr>
      </w:pPr>
      <w:r w:rsidRPr="009B50E0">
        <w:rPr>
          <w:rFonts w:asciiTheme="majorBidi" w:hAnsiTheme="majorBidi" w:cstheme="majorBidi"/>
          <w:sz w:val="20"/>
          <w:szCs w:val="20"/>
        </w:rPr>
        <w:t>Potential synergy with statins, iron chelators, or GPX4 mimetics</w:t>
      </w:r>
    </w:p>
    <w:p w14:paraId="17DCF2EA" w14:textId="77777777" w:rsidR="009B50E0" w:rsidRPr="009B50E0" w:rsidRDefault="009B50E0" w:rsidP="009B50E0">
      <w:pPr>
        <w:bidi w:val="0"/>
        <w:spacing w:after="0" w:line="240" w:lineRule="auto"/>
        <w:rPr>
          <w:rFonts w:asciiTheme="majorBidi" w:hAnsiTheme="majorBidi" w:cstheme="majorBidi"/>
          <w:sz w:val="20"/>
          <w:szCs w:val="20"/>
        </w:rPr>
      </w:pPr>
      <w:r w:rsidRPr="009B50E0">
        <w:rPr>
          <w:rFonts w:asciiTheme="majorBidi" w:hAnsiTheme="majorBidi" w:cstheme="majorBidi"/>
          <w:sz w:val="20"/>
          <w:szCs w:val="20"/>
        </w:rPr>
        <w:t>Future directions:</w:t>
      </w:r>
    </w:p>
    <w:p w14:paraId="125FC018" w14:textId="77777777" w:rsidR="009B50E0" w:rsidRPr="009B50E0" w:rsidRDefault="009B50E0" w:rsidP="009B50E0">
      <w:pPr>
        <w:numPr>
          <w:ilvl w:val="0"/>
          <w:numId w:val="22"/>
        </w:numPr>
        <w:bidi w:val="0"/>
        <w:spacing w:after="0" w:line="240" w:lineRule="auto"/>
        <w:rPr>
          <w:rFonts w:asciiTheme="majorBidi" w:hAnsiTheme="majorBidi" w:cstheme="majorBidi"/>
          <w:sz w:val="20"/>
          <w:szCs w:val="20"/>
        </w:rPr>
      </w:pPr>
      <w:r w:rsidRPr="009B50E0">
        <w:rPr>
          <w:rFonts w:asciiTheme="majorBidi" w:hAnsiTheme="majorBidi" w:cstheme="majorBidi"/>
          <w:sz w:val="20"/>
          <w:szCs w:val="20"/>
        </w:rPr>
        <w:t>Elucidating exact molecular mechanisms of Tβ4 in ferroptosis.</w:t>
      </w:r>
    </w:p>
    <w:p w14:paraId="7E591E53" w14:textId="77777777" w:rsidR="009B50E0" w:rsidRPr="009B50E0" w:rsidRDefault="009B50E0" w:rsidP="009B50E0">
      <w:pPr>
        <w:numPr>
          <w:ilvl w:val="0"/>
          <w:numId w:val="22"/>
        </w:numPr>
        <w:bidi w:val="0"/>
        <w:spacing w:after="0" w:line="240" w:lineRule="auto"/>
        <w:rPr>
          <w:rFonts w:asciiTheme="majorBidi" w:hAnsiTheme="majorBidi" w:cstheme="majorBidi"/>
          <w:sz w:val="20"/>
          <w:szCs w:val="20"/>
        </w:rPr>
      </w:pPr>
      <w:r w:rsidRPr="009B50E0">
        <w:rPr>
          <w:rFonts w:asciiTheme="majorBidi" w:hAnsiTheme="majorBidi" w:cstheme="majorBidi"/>
          <w:sz w:val="20"/>
          <w:szCs w:val="20"/>
        </w:rPr>
        <w:t>Developing Tβ4 analogs or gene therapy approaches.</w:t>
      </w:r>
    </w:p>
    <w:p w14:paraId="29545CEA" w14:textId="7F0BD5A7" w:rsidR="00320F57" w:rsidRPr="009B50E0" w:rsidRDefault="009B50E0" w:rsidP="009B50E0">
      <w:pPr>
        <w:numPr>
          <w:ilvl w:val="0"/>
          <w:numId w:val="22"/>
        </w:numPr>
        <w:bidi w:val="0"/>
        <w:spacing w:after="0" w:line="240" w:lineRule="auto"/>
        <w:rPr>
          <w:rFonts w:asciiTheme="majorBidi" w:hAnsiTheme="majorBidi" w:cstheme="majorBidi"/>
          <w:sz w:val="20"/>
          <w:szCs w:val="20"/>
        </w:rPr>
      </w:pPr>
      <w:r w:rsidRPr="009B50E0">
        <w:rPr>
          <w:rFonts w:asciiTheme="majorBidi" w:hAnsiTheme="majorBidi" w:cstheme="majorBidi"/>
          <w:sz w:val="20"/>
          <w:szCs w:val="20"/>
        </w:rPr>
        <w:t>Exploring Tβ4 levels as a biomarker for plaque vulnerability.</w:t>
      </w:r>
    </w:p>
    <w:p w14:paraId="41792ED5" w14:textId="77777777" w:rsidR="00320F57" w:rsidRDefault="00320F57" w:rsidP="00320F57">
      <w:pPr>
        <w:bidi w:val="0"/>
        <w:spacing w:after="0" w:line="240" w:lineRule="auto"/>
        <w:jc w:val="both"/>
        <w:rPr>
          <w:rFonts w:asciiTheme="majorBidi" w:hAnsiTheme="majorBidi" w:cstheme="majorBidi"/>
          <w:sz w:val="20"/>
          <w:szCs w:val="20"/>
        </w:rPr>
      </w:pPr>
    </w:p>
    <w:p w14:paraId="48E23C61" w14:textId="35615203" w:rsidR="00165D00" w:rsidRPr="001A5200" w:rsidRDefault="000802F5" w:rsidP="00505EA3">
      <w:pPr>
        <w:shd w:val="clear" w:color="auto" w:fill="FFFFFF"/>
        <w:bidi w:val="0"/>
        <w:spacing w:after="0" w:line="240" w:lineRule="auto"/>
        <w:jc w:val="both"/>
        <w:rPr>
          <w:rFonts w:asciiTheme="majorBidi" w:hAnsiTheme="majorBidi" w:cstheme="majorBidi"/>
          <w:b/>
          <w:bCs/>
          <w:sz w:val="20"/>
          <w:szCs w:val="20"/>
          <w:lang w:bidi="ar-EG"/>
        </w:rPr>
      </w:pPr>
      <w:r w:rsidRPr="001A5200">
        <w:rPr>
          <w:rFonts w:asciiTheme="majorBidi" w:hAnsiTheme="majorBidi" w:cstheme="majorBidi"/>
          <w:b/>
          <w:bCs/>
          <w:sz w:val="20"/>
          <w:szCs w:val="20"/>
          <w:lang w:bidi="ar-EG"/>
        </w:rPr>
        <w:t>References</w:t>
      </w:r>
    </w:p>
    <w:p w14:paraId="656D7B5C" w14:textId="77777777" w:rsidR="00114695" w:rsidRPr="00114695" w:rsidRDefault="00114695" w:rsidP="000E6E03">
      <w:pPr>
        <w:numPr>
          <w:ilvl w:val="0"/>
          <w:numId w:val="18"/>
        </w:numPr>
        <w:bidi w:val="0"/>
        <w:spacing w:after="0" w:line="240" w:lineRule="auto"/>
        <w:ind w:left="360" w:hanging="270"/>
        <w:jc w:val="both"/>
        <w:rPr>
          <w:rFonts w:asciiTheme="majorBidi" w:eastAsia="Calibri" w:hAnsiTheme="majorBidi" w:cstheme="majorBidi"/>
          <w:sz w:val="20"/>
          <w:szCs w:val="20"/>
          <w:lang w:bidi="ar-EG"/>
        </w:rPr>
      </w:pPr>
      <w:r w:rsidRPr="00791836">
        <w:rPr>
          <w:rFonts w:asciiTheme="majorBidi" w:hAnsiTheme="majorBidi" w:cstheme="majorBidi"/>
          <w:sz w:val="20"/>
          <w:szCs w:val="20"/>
          <w:lang w:val="nl-NL"/>
        </w:rPr>
        <w:t xml:space="preserve">Xu, S., Xu, Y., Liu, P., Zhang, S., Liu, H., Slavin, S., . . . </w:t>
      </w:r>
      <w:r w:rsidRPr="00114695">
        <w:rPr>
          <w:rFonts w:asciiTheme="majorBidi" w:hAnsiTheme="majorBidi" w:cstheme="majorBidi"/>
          <w:sz w:val="20"/>
          <w:szCs w:val="20"/>
        </w:rPr>
        <w:t xml:space="preserve">Wu, X. J. E. h. j. (2019). The novel coronary </w:t>
      </w:r>
      <w:r w:rsidRPr="00114695">
        <w:rPr>
          <w:rFonts w:asciiTheme="majorBidi" w:hAnsiTheme="majorBidi" w:cstheme="majorBidi"/>
          <w:sz w:val="20"/>
          <w:szCs w:val="20"/>
        </w:rPr>
        <w:lastRenderedPageBreak/>
        <w:t xml:space="preserve">artery disease risk gene JCAD/KIAA1462 promotes endothelial dysfunction and atherosclerosis. 40(29), 2398-2408. </w:t>
      </w:r>
    </w:p>
    <w:p w14:paraId="6F3AFBD1" w14:textId="77777777" w:rsidR="00114695" w:rsidRPr="00114695" w:rsidRDefault="00114695" w:rsidP="000E6E03">
      <w:pPr>
        <w:numPr>
          <w:ilvl w:val="0"/>
          <w:numId w:val="18"/>
        </w:numPr>
        <w:bidi w:val="0"/>
        <w:spacing w:after="0" w:line="240" w:lineRule="auto"/>
        <w:ind w:left="360" w:hanging="270"/>
        <w:jc w:val="both"/>
        <w:rPr>
          <w:rFonts w:asciiTheme="majorBidi" w:eastAsia="Calibri" w:hAnsiTheme="majorBidi" w:cstheme="majorBidi"/>
          <w:sz w:val="20"/>
          <w:szCs w:val="20"/>
          <w:lang w:bidi="ar-EG"/>
        </w:rPr>
      </w:pPr>
      <w:r w:rsidRPr="00791836">
        <w:rPr>
          <w:rFonts w:asciiTheme="majorBidi" w:hAnsiTheme="majorBidi" w:cstheme="majorBidi"/>
          <w:sz w:val="20"/>
          <w:szCs w:val="20"/>
          <w:lang w:val="nl-NL"/>
        </w:rPr>
        <w:t xml:space="preserve">Wu, X., Qin, K., Iroegbu, C. D., Xiang, K., Peng, J., Guo, J., . . . </w:t>
      </w:r>
      <w:r w:rsidRPr="00114695">
        <w:rPr>
          <w:rFonts w:asciiTheme="majorBidi" w:hAnsiTheme="majorBidi" w:cstheme="majorBidi"/>
          <w:sz w:val="20"/>
          <w:szCs w:val="20"/>
        </w:rPr>
        <w:t xml:space="preserve">Medicine, M. (2022). Genetic analysis of potential biomarkers and therapeutic targets in ferroptosis from coronary artery disease. 26(8), 2177-2190. </w:t>
      </w:r>
    </w:p>
    <w:p w14:paraId="0A87C733" w14:textId="77777777" w:rsidR="00114695" w:rsidRPr="00114695" w:rsidRDefault="00114695" w:rsidP="000E6E03">
      <w:pPr>
        <w:numPr>
          <w:ilvl w:val="0"/>
          <w:numId w:val="18"/>
        </w:numPr>
        <w:bidi w:val="0"/>
        <w:spacing w:after="0" w:line="240" w:lineRule="auto"/>
        <w:ind w:left="360" w:hanging="270"/>
        <w:jc w:val="both"/>
        <w:rPr>
          <w:rFonts w:asciiTheme="majorBidi" w:eastAsia="Calibri" w:hAnsiTheme="majorBidi" w:cstheme="majorBidi"/>
          <w:sz w:val="20"/>
          <w:szCs w:val="20"/>
          <w:lang w:bidi="ar-EG"/>
        </w:rPr>
      </w:pPr>
      <w:r w:rsidRPr="00114695">
        <w:rPr>
          <w:rFonts w:asciiTheme="majorBidi" w:hAnsiTheme="majorBidi" w:cstheme="majorBidi"/>
          <w:sz w:val="20"/>
          <w:szCs w:val="20"/>
        </w:rPr>
        <w:t xml:space="preserve">Stockwell, B. R., Angeli, J. P. F., Bayir, H., Bush, A. I., Conrad, M., Dixon, S. J., . . . Kagan, V. E. J. C. (2017). Ferroptosis: a regulated cell death nexus linking metabolism, redox biology, and disease. 171(2), 273-285. </w:t>
      </w:r>
    </w:p>
    <w:p w14:paraId="5530250D" w14:textId="77777777" w:rsidR="00114695" w:rsidRPr="00114695" w:rsidRDefault="00114695" w:rsidP="000E6E03">
      <w:pPr>
        <w:numPr>
          <w:ilvl w:val="0"/>
          <w:numId w:val="18"/>
        </w:numPr>
        <w:bidi w:val="0"/>
        <w:spacing w:after="0" w:line="240" w:lineRule="auto"/>
        <w:ind w:left="360" w:hanging="270"/>
        <w:jc w:val="both"/>
        <w:rPr>
          <w:rFonts w:asciiTheme="majorBidi" w:eastAsia="Calibri" w:hAnsiTheme="majorBidi" w:cstheme="majorBidi"/>
          <w:sz w:val="20"/>
          <w:szCs w:val="20"/>
          <w:lang w:bidi="ar-EG"/>
        </w:rPr>
      </w:pPr>
      <w:r w:rsidRPr="00114695">
        <w:rPr>
          <w:rFonts w:asciiTheme="majorBidi" w:hAnsiTheme="majorBidi" w:cstheme="majorBidi"/>
          <w:sz w:val="20"/>
          <w:szCs w:val="20"/>
        </w:rPr>
        <w:t xml:space="preserve">Ouyang, S., You, J., Zhi, C., Li, P., Lin, X., Tan, X., . . . Disease. (2021). Ferroptosis: the potential value target in atherosclerosis. 12(8), 782. </w:t>
      </w:r>
    </w:p>
    <w:p w14:paraId="090F1BC0" w14:textId="0371D80A" w:rsidR="005D22C8" w:rsidRPr="00114695" w:rsidRDefault="00114695" w:rsidP="00114695">
      <w:pPr>
        <w:numPr>
          <w:ilvl w:val="0"/>
          <w:numId w:val="18"/>
        </w:numPr>
        <w:bidi w:val="0"/>
        <w:spacing w:after="0" w:line="240" w:lineRule="auto"/>
        <w:ind w:left="360" w:hanging="270"/>
        <w:jc w:val="both"/>
        <w:rPr>
          <w:rFonts w:asciiTheme="majorBidi" w:eastAsia="Calibri" w:hAnsiTheme="majorBidi" w:cstheme="majorBidi"/>
          <w:sz w:val="20"/>
          <w:szCs w:val="20"/>
          <w:lang w:bidi="ar-EG"/>
        </w:rPr>
      </w:pPr>
      <w:r w:rsidRPr="00114695">
        <w:rPr>
          <w:rFonts w:asciiTheme="majorBidi" w:hAnsiTheme="majorBidi" w:cstheme="majorBidi"/>
          <w:sz w:val="20"/>
          <w:szCs w:val="20"/>
        </w:rPr>
        <w:t>Zhou, Y., Zhou, H., Hua, L., Hou, C., Jia, Q., Chen, J., ... &amp; Jia, E. (2021). Verification of ferroptosis and pyroptosis and identification of PTGS2 as the hub gene in human coronary artery atherosclerosis. Free Radical Biology and Medicine, 171, 55-68.</w:t>
      </w:r>
      <w:r w:rsidRPr="00114695">
        <w:rPr>
          <w:rFonts w:asciiTheme="majorBidi" w:hAnsiTheme="majorBidi" w:cs="Times New Roman"/>
          <w:sz w:val="20"/>
          <w:szCs w:val="20"/>
          <w:rtl/>
        </w:rPr>
        <w:t>‏</w:t>
      </w:r>
    </w:p>
    <w:p w14:paraId="14B08A65" w14:textId="77777777" w:rsidR="00114695" w:rsidRPr="00114695" w:rsidRDefault="00114695" w:rsidP="000E6E03">
      <w:pPr>
        <w:numPr>
          <w:ilvl w:val="0"/>
          <w:numId w:val="18"/>
        </w:numPr>
        <w:bidi w:val="0"/>
        <w:spacing w:after="0" w:line="240" w:lineRule="auto"/>
        <w:ind w:left="360" w:hanging="270"/>
        <w:jc w:val="both"/>
        <w:rPr>
          <w:rFonts w:asciiTheme="majorBidi" w:eastAsia="Calibri" w:hAnsiTheme="majorBidi" w:cstheme="majorBidi"/>
          <w:sz w:val="20"/>
          <w:szCs w:val="20"/>
          <w:lang w:bidi="ar-EG"/>
        </w:rPr>
      </w:pPr>
      <w:r w:rsidRPr="00114695">
        <w:rPr>
          <w:rFonts w:asciiTheme="majorBidi" w:hAnsiTheme="majorBidi" w:cstheme="majorBidi"/>
          <w:sz w:val="20"/>
          <w:szCs w:val="20"/>
        </w:rPr>
        <w:t xml:space="preserve">Ouyang, S., You, J., Zhi, C., Li, P., Lin, X., Tan, X., . . . Disease. (2021). Ferroptosis: the potential value target in atherosclerosis. 12(8), 782. </w:t>
      </w:r>
    </w:p>
    <w:p w14:paraId="03C2139A" w14:textId="337A1CB2" w:rsidR="00BB7E7A" w:rsidRPr="00114695" w:rsidRDefault="00BB7E7A" w:rsidP="00BB7E7A">
      <w:pPr>
        <w:numPr>
          <w:ilvl w:val="0"/>
          <w:numId w:val="18"/>
        </w:numPr>
        <w:bidi w:val="0"/>
        <w:spacing w:after="0" w:line="240" w:lineRule="auto"/>
        <w:ind w:left="360" w:hanging="270"/>
        <w:jc w:val="both"/>
        <w:rPr>
          <w:rFonts w:asciiTheme="majorBidi" w:eastAsia="Calibri" w:hAnsiTheme="majorBidi" w:cstheme="majorBidi"/>
          <w:sz w:val="20"/>
          <w:szCs w:val="20"/>
          <w:lang w:bidi="ar-EG"/>
        </w:rPr>
      </w:pPr>
      <w:r w:rsidRPr="00791836">
        <w:rPr>
          <w:rFonts w:asciiTheme="majorBidi" w:eastAsia="Calibri" w:hAnsiTheme="majorBidi" w:cstheme="majorBidi"/>
          <w:sz w:val="20"/>
          <w:szCs w:val="20"/>
          <w:lang w:val="nl-NL" w:bidi="ar-EG"/>
        </w:rPr>
        <w:t xml:space="preserve">Xing, Y., Ye, Y., Zuo, H., &amp; Li, Y. J. F. i. e. (2021). </w:t>
      </w:r>
      <w:r w:rsidRPr="00BB7E7A">
        <w:rPr>
          <w:rFonts w:asciiTheme="majorBidi" w:eastAsia="Calibri" w:hAnsiTheme="majorBidi" w:cstheme="majorBidi"/>
          <w:sz w:val="20"/>
          <w:szCs w:val="20"/>
          <w:lang w:bidi="ar-EG"/>
        </w:rPr>
        <w:t>Progress on the Function and Application of Thymosin β4. 1734.</w:t>
      </w:r>
    </w:p>
    <w:p w14:paraId="59C894A1" w14:textId="3E2598A1" w:rsidR="00B82FF8" w:rsidRPr="001A5200" w:rsidRDefault="00BB7E7A" w:rsidP="000E6E03">
      <w:pPr>
        <w:pStyle w:val="ListParagraph"/>
        <w:numPr>
          <w:ilvl w:val="0"/>
          <w:numId w:val="18"/>
        </w:numPr>
        <w:bidi w:val="0"/>
        <w:spacing w:after="0" w:line="240" w:lineRule="auto"/>
        <w:ind w:left="360" w:hanging="270"/>
        <w:contextualSpacing w:val="0"/>
        <w:jc w:val="both"/>
        <w:rPr>
          <w:rFonts w:asciiTheme="majorBidi" w:hAnsiTheme="majorBidi" w:cstheme="majorBidi"/>
          <w:sz w:val="20"/>
          <w:szCs w:val="20"/>
        </w:rPr>
      </w:pPr>
      <w:r w:rsidRPr="00BB7E7A">
        <w:rPr>
          <w:rFonts w:asciiTheme="majorBidi" w:hAnsiTheme="majorBidi" w:cstheme="majorBidi"/>
          <w:sz w:val="20"/>
          <w:szCs w:val="20"/>
        </w:rPr>
        <w:t>Lachowicz, J. I., Pichiri, G., Piludu, M., Fais, S., Orrù, G., Congiu, T., . . . Dalla Torre, G. J. I. J. o. M. S. (2022). Thymosin β4 is an endogenous iron chelator and molecular switcher of ferroptosis. 23(1), 551</w:t>
      </w:r>
      <w:r w:rsidR="006D6266" w:rsidRPr="001A5200">
        <w:rPr>
          <w:rFonts w:asciiTheme="majorBidi" w:hAnsiTheme="majorBidi" w:cstheme="majorBidi"/>
          <w:sz w:val="20"/>
          <w:szCs w:val="20"/>
          <w:rtl/>
        </w:rPr>
        <w:t>.</w:t>
      </w:r>
    </w:p>
    <w:p w14:paraId="1D6AF5DE" w14:textId="0F1E18F8" w:rsidR="00BB7E7A" w:rsidRDefault="00BB7E7A" w:rsidP="000E6E03">
      <w:pPr>
        <w:pStyle w:val="ListParagraph"/>
        <w:numPr>
          <w:ilvl w:val="0"/>
          <w:numId w:val="18"/>
        </w:numPr>
        <w:bidi w:val="0"/>
        <w:spacing w:after="0" w:line="240" w:lineRule="auto"/>
        <w:ind w:left="360" w:hanging="270"/>
        <w:contextualSpacing w:val="0"/>
        <w:jc w:val="both"/>
        <w:rPr>
          <w:rFonts w:asciiTheme="majorBidi" w:hAnsiTheme="majorBidi" w:cstheme="majorBidi"/>
          <w:sz w:val="20"/>
          <w:szCs w:val="20"/>
        </w:rPr>
      </w:pPr>
      <w:r w:rsidRPr="00791836">
        <w:rPr>
          <w:rFonts w:asciiTheme="majorBidi" w:hAnsiTheme="majorBidi" w:cstheme="majorBidi"/>
          <w:sz w:val="20"/>
          <w:szCs w:val="20"/>
          <w:lang w:val="nl-NL"/>
        </w:rPr>
        <w:t xml:space="preserve">Wu, D., Hu, Q., Wang, Y., Jin, M., Tao, Z., &amp; Wan, J. J. F. i. C. M. (2022). </w:t>
      </w:r>
      <w:r w:rsidRPr="00BB7E7A">
        <w:rPr>
          <w:rFonts w:asciiTheme="majorBidi" w:hAnsiTheme="majorBidi" w:cstheme="majorBidi"/>
          <w:sz w:val="20"/>
          <w:szCs w:val="20"/>
        </w:rPr>
        <w:t xml:space="preserve">Identification of HMOX1 as a critical ferroptosis-related gene in </w:t>
      </w:r>
      <w:r w:rsidR="002129F0" w:rsidRPr="00BB7E7A">
        <w:rPr>
          <w:rFonts w:asciiTheme="majorBidi" w:hAnsiTheme="majorBidi" w:cstheme="majorBidi"/>
          <w:sz w:val="20"/>
          <w:szCs w:val="20"/>
        </w:rPr>
        <w:t>atherosclerosis.</w:t>
      </w:r>
      <w:r w:rsidRPr="00BB7E7A">
        <w:rPr>
          <w:rFonts w:asciiTheme="majorBidi" w:hAnsiTheme="majorBidi" w:cstheme="majorBidi"/>
          <w:sz w:val="20"/>
          <w:szCs w:val="20"/>
        </w:rPr>
        <w:t xml:space="preserve"> </w:t>
      </w:r>
    </w:p>
    <w:p w14:paraId="34E1D41A" w14:textId="2FDB7E16" w:rsidR="00735FF1" w:rsidRPr="001A5200" w:rsidRDefault="005906E7" w:rsidP="00603438">
      <w:pPr>
        <w:pStyle w:val="ListParagraph"/>
        <w:numPr>
          <w:ilvl w:val="0"/>
          <w:numId w:val="18"/>
        </w:numPr>
        <w:bidi w:val="0"/>
        <w:spacing w:after="0" w:line="240" w:lineRule="auto"/>
        <w:ind w:left="270" w:hanging="270"/>
        <w:contextualSpacing w:val="0"/>
        <w:jc w:val="both"/>
        <w:rPr>
          <w:rFonts w:asciiTheme="majorBidi" w:hAnsiTheme="majorBidi" w:cstheme="majorBidi"/>
          <w:sz w:val="20"/>
          <w:szCs w:val="20"/>
        </w:rPr>
      </w:pPr>
      <w:r w:rsidRPr="00791836">
        <w:rPr>
          <w:rFonts w:asciiTheme="majorBidi" w:hAnsiTheme="majorBidi" w:cstheme="majorBidi"/>
          <w:sz w:val="20"/>
          <w:szCs w:val="20"/>
          <w:lang w:val="nl-NL"/>
        </w:rPr>
        <w:t xml:space="preserve">Goldstein, A. L., Hannappel, E., &amp; Kleinman, H. K. (2005). </w:t>
      </w:r>
      <w:r w:rsidRPr="005906E7">
        <w:rPr>
          <w:rFonts w:asciiTheme="majorBidi" w:hAnsiTheme="majorBidi" w:cstheme="majorBidi"/>
          <w:sz w:val="20"/>
          <w:szCs w:val="20"/>
        </w:rPr>
        <w:t>Thymosin β4: actin-sequestering protein moonlights to repair injured tissues. </w:t>
      </w:r>
      <w:r w:rsidRPr="005906E7">
        <w:rPr>
          <w:rFonts w:asciiTheme="majorBidi" w:hAnsiTheme="majorBidi" w:cstheme="majorBidi"/>
          <w:i/>
          <w:iCs/>
          <w:sz w:val="20"/>
          <w:szCs w:val="20"/>
        </w:rPr>
        <w:t>Trends in molecular medicine</w:t>
      </w:r>
      <w:r w:rsidRPr="005906E7">
        <w:rPr>
          <w:rFonts w:asciiTheme="majorBidi" w:hAnsiTheme="majorBidi" w:cstheme="majorBidi"/>
          <w:sz w:val="20"/>
          <w:szCs w:val="20"/>
        </w:rPr>
        <w:t>, </w:t>
      </w:r>
      <w:r w:rsidRPr="005906E7">
        <w:rPr>
          <w:rFonts w:asciiTheme="majorBidi" w:hAnsiTheme="majorBidi" w:cstheme="majorBidi"/>
          <w:i/>
          <w:iCs/>
          <w:sz w:val="20"/>
          <w:szCs w:val="20"/>
        </w:rPr>
        <w:t>11</w:t>
      </w:r>
      <w:r w:rsidRPr="005906E7">
        <w:rPr>
          <w:rFonts w:asciiTheme="majorBidi" w:hAnsiTheme="majorBidi" w:cstheme="majorBidi"/>
          <w:sz w:val="20"/>
          <w:szCs w:val="20"/>
        </w:rPr>
        <w:t>(9), 421-429.</w:t>
      </w:r>
      <w:r w:rsidRPr="005906E7">
        <w:rPr>
          <w:rFonts w:asciiTheme="majorBidi" w:hAnsiTheme="majorBidi" w:cstheme="majorBidi"/>
          <w:sz w:val="20"/>
          <w:szCs w:val="20"/>
          <w:rtl/>
        </w:rPr>
        <w:t>‏</w:t>
      </w:r>
      <w:r w:rsidRPr="005906E7">
        <w:rPr>
          <w:rFonts w:asciiTheme="majorBidi" w:hAnsiTheme="majorBidi" w:cstheme="majorBidi"/>
          <w:sz w:val="20"/>
          <w:szCs w:val="20"/>
        </w:rPr>
        <w:t xml:space="preserve"> </w:t>
      </w:r>
      <w:r w:rsidR="00735FF1" w:rsidRPr="001A5200">
        <w:rPr>
          <w:rFonts w:asciiTheme="majorBidi" w:hAnsiTheme="majorBidi" w:cstheme="majorBidi"/>
          <w:sz w:val="20"/>
          <w:szCs w:val="20"/>
        </w:rPr>
        <w:t xml:space="preserve">V. Janika, &amp; T. Thomas, (2017): Circulating Noncoding RNAs as Biomarkers of Cardiovascular Disease and </w:t>
      </w:r>
      <w:r w:rsidR="002129F0" w:rsidRPr="001A5200">
        <w:rPr>
          <w:rFonts w:asciiTheme="majorBidi" w:hAnsiTheme="majorBidi" w:cstheme="majorBidi"/>
          <w:sz w:val="20"/>
          <w:szCs w:val="20"/>
        </w:rPr>
        <w:t xml:space="preserve">Injury, </w:t>
      </w:r>
      <w:r w:rsidR="00603438" w:rsidRPr="00603438">
        <w:rPr>
          <w:rFonts w:asciiTheme="majorBidi" w:hAnsiTheme="majorBidi" w:cstheme="majorBidi"/>
          <w:sz w:val="20"/>
          <w:szCs w:val="20"/>
        </w:rPr>
        <w:t>Bentzon, J. F., Otsuka, F., Virmani, R., &amp; Falk, E. (2014). Mechanisms of plaque formation and rupture. </w:t>
      </w:r>
      <w:r w:rsidR="00603438" w:rsidRPr="00603438">
        <w:rPr>
          <w:rFonts w:asciiTheme="majorBidi" w:hAnsiTheme="majorBidi" w:cstheme="majorBidi"/>
          <w:i/>
          <w:iCs/>
          <w:sz w:val="20"/>
          <w:szCs w:val="20"/>
        </w:rPr>
        <w:t>Circulation research</w:t>
      </w:r>
      <w:r w:rsidR="00603438" w:rsidRPr="00603438">
        <w:rPr>
          <w:rFonts w:asciiTheme="majorBidi" w:hAnsiTheme="majorBidi" w:cstheme="majorBidi"/>
          <w:sz w:val="20"/>
          <w:szCs w:val="20"/>
        </w:rPr>
        <w:t>, </w:t>
      </w:r>
      <w:r w:rsidR="00603438" w:rsidRPr="00603438">
        <w:rPr>
          <w:rFonts w:asciiTheme="majorBidi" w:hAnsiTheme="majorBidi" w:cstheme="majorBidi"/>
          <w:i/>
          <w:iCs/>
          <w:sz w:val="20"/>
          <w:szCs w:val="20"/>
        </w:rPr>
        <w:t>114</w:t>
      </w:r>
      <w:r w:rsidR="00603438" w:rsidRPr="00603438">
        <w:rPr>
          <w:rFonts w:asciiTheme="majorBidi" w:hAnsiTheme="majorBidi" w:cstheme="majorBidi"/>
          <w:sz w:val="20"/>
          <w:szCs w:val="20"/>
        </w:rPr>
        <w:t>(12), 1852-1866.</w:t>
      </w:r>
      <w:r w:rsidR="00603438" w:rsidRPr="00603438">
        <w:rPr>
          <w:rFonts w:asciiTheme="majorBidi" w:hAnsiTheme="majorBidi" w:cstheme="majorBidi"/>
          <w:sz w:val="20"/>
          <w:szCs w:val="20"/>
          <w:rtl/>
        </w:rPr>
        <w:t>‏</w:t>
      </w:r>
      <w:r w:rsidR="002129F0" w:rsidRPr="001A5200">
        <w:rPr>
          <w:rFonts w:asciiTheme="majorBidi" w:hAnsiTheme="majorBidi" w:cstheme="majorBidi"/>
          <w:sz w:val="20"/>
          <w:szCs w:val="20"/>
        </w:rPr>
        <w:t>Circ.</w:t>
      </w:r>
      <w:r w:rsidR="00735FF1" w:rsidRPr="001A5200">
        <w:rPr>
          <w:rFonts w:asciiTheme="majorBidi" w:hAnsiTheme="majorBidi" w:cstheme="majorBidi"/>
          <w:sz w:val="20"/>
          <w:szCs w:val="20"/>
        </w:rPr>
        <w:t xml:space="preserve"> Res., 120: 381–399.</w:t>
      </w:r>
    </w:p>
    <w:p w14:paraId="10447350" w14:textId="77777777" w:rsidR="005906E7" w:rsidRDefault="005906E7" w:rsidP="005906E7">
      <w:pPr>
        <w:pStyle w:val="ListParagraph"/>
        <w:numPr>
          <w:ilvl w:val="0"/>
          <w:numId w:val="18"/>
        </w:numPr>
        <w:bidi w:val="0"/>
        <w:spacing w:after="0" w:line="240" w:lineRule="auto"/>
        <w:ind w:left="360" w:hanging="270"/>
        <w:contextualSpacing w:val="0"/>
        <w:jc w:val="both"/>
        <w:rPr>
          <w:rFonts w:asciiTheme="majorBidi" w:hAnsiTheme="majorBidi" w:cstheme="majorBidi"/>
          <w:sz w:val="20"/>
          <w:szCs w:val="20"/>
        </w:rPr>
      </w:pPr>
      <w:r w:rsidRPr="005906E7">
        <w:rPr>
          <w:rFonts w:asciiTheme="majorBidi" w:hAnsiTheme="majorBidi" w:cstheme="majorBidi"/>
          <w:sz w:val="20"/>
          <w:szCs w:val="20"/>
        </w:rPr>
        <w:t>Low, T. L., Hu, S. K., &amp; Goldstein, A. L. (1981). Complete amino acid sequence of bovine thymosin beta 4: a thymic hormone that induces terminal deoxynucleotidyl transferase activity in thymocyte populations. </w:t>
      </w:r>
      <w:r w:rsidRPr="005906E7">
        <w:rPr>
          <w:rFonts w:asciiTheme="majorBidi" w:hAnsiTheme="majorBidi" w:cstheme="majorBidi"/>
          <w:i/>
          <w:iCs/>
          <w:sz w:val="20"/>
          <w:szCs w:val="20"/>
        </w:rPr>
        <w:t>Proceedings of the National Academy of Sciences</w:t>
      </w:r>
      <w:r w:rsidRPr="005906E7">
        <w:rPr>
          <w:rFonts w:asciiTheme="majorBidi" w:hAnsiTheme="majorBidi" w:cstheme="majorBidi"/>
          <w:sz w:val="20"/>
          <w:szCs w:val="20"/>
        </w:rPr>
        <w:t>, </w:t>
      </w:r>
      <w:r w:rsidRPr="005906E7">
        <w:rPr>
          <w:rFonts w:asciiTheme="majorBidi" w:hAnsiTheme="majorBidi" w:cstheme="majorBidi"/>
          <w:i/>
          <w:iCs/>
          <w:sz w:val="20"/>
          <w:szCs w:val="20"/>
        </w:rPr>
        <w:t>78</w:t>
      </w:r>
      <w:r w:rsidRPr="005906E7">
        <w:rPr>
          <w:rFonts w:asciiTheme="majorBidi" w:hAnsiTheme="majorBidi" w:cstheme="majorBidi"/>
          <w:sz w:val="20"/>
          <w:szCs w:val="20"/>
        </w:rPr>
        <w:t>(2), 1162-1166.</w:t>
      </w:r>
      <w:r w:rsidRPr="005906E7">
        <w:rPr>
          <w:rFonts w:asciiTheme="majorBidi" w:hAnsiTheme="majorBidi" w:cstheme="majorBidi"/>
          <w:sz w:val="20"/>
          <w:szCs w:val="20"/>
          <w:rtl/>
        </w:rPr>
        <w:t>‏</w:t>
      </w:r>
    </w:p>
    <w:p w14:paraId="58FE3F07" w14:textId="77777777" w:rsidR="00965747" w:rsidRDefault="00965747" w:rsidP="00965747">
      <w:pPr>
        <w:pStyle w:val="ListParagraph"/>
        <w:numPr>
          <w:ilvl w:val="0"/>
          <w:numId w:val="18"/>
        </w:numPr>
        <w:bidi w:val="0"/>
        <w:spacing w:after="0" w:line="240" w:lineRule="auto"/>
        <w:ind w:left="360" w:hanging="270"/>
        <w:contextualSpacing w:val="0"/>
        <w:jc w:val="both"/>
        <w:rPr>
          <w:rFonts w:asciiTheme="majorBidi" w:hAnsiTheme="majorBidi" w:cstheme="majorBidi"/>
          <w:sz w:val="20"/>
          <w:szCs w:val="20"/>
        </w:rPr>
      </w:pPr>
      <w:r w:rsidRPr="00791836">
        <w:rPr>
          <w:rFonts w:asciiTheme="majorBidi" w:hAnsiTheme="majorBidi" w:cstheme="majorBidi"/>
          <w:sz w:val="20"/>
          <w:szCs w:val="20"/>
          <w:lang w:val="nl-NL"/>
        </w:rPr>
        <w:t xml:space="preserve">Goldstein, A. L., Hannappel, E., &amp; Kleinman, H. K. (2005). </w:t>
      </w:r>
      <w:r w:rsidRPr="00965747">
        <w:rPr>
          <w:rFonts w:asciiTheme="majorBidi" w:hAnsiTheme="majorBidi" w:cstheme="majorBidi"/>
          <w:sz w:val="20"/>
          <w:szCs w:val="20"/>
        </w:rPr>
        <w:t>Thymosin β4: actin-sequestering protein moonlights to repair injured tissues. </w:t>
      </w:r>
      <w:r w:rsidRPr="00965747">
        <w:rPr>
          <w:rFonts w:asciiTheme="majorBidi" w:hAnsiTheme="majorBidi" w:cstheme="majorBidi"/>
          <w:i/>
          <w:iCs/>
          <w:sz w:val="20"/>
          <w:szCs w:val="20"/>
        </w:rPr>
        <w:t>Trends in molecular medicine</w:t>
      </w:r>
      <w:r w:rsidRPr="00965747">
        <w:rPr>
          <w:rFonts w:asciiTheme="majorBidi" w:hAnsiTheme="majorBidi" w:cstheme="majorBidi"/>
          <w:sz w:val="20"/>
          <w:szCs w:val="20"/>
        </w:rPr>
        <w:t>, </w:t>
      </w:r>
      <w:r w:rsidRPr="00965747">
        <w:rPr>
          <w:rFonts w:asciiTheme="majorBidi" w:hAnsiTheme="majorBidi" w:cstheme="majorBidi"/>
          <w:i/>
          <w:iCs/>
          <w:sz w:val="20"/>
          <w:szCs w:val="20"/>
        </w:rPr>
        <w:t>11</w:t>
      </w:r>
      <w:r w:rsidRPr="00965747">
        <w:rPr>
          <w:rFonts w:asciiTheme="majorBidi" w:hAnsiTheme="majorBidi" w:cstheme="majorBidi"/>
          <w:sz w:val="20"/>
          <w:szCs w:val="20"/>
        </w:rPr>
        <w:t>(9), 421-429.</w:t>
      </w:r>
      <w:r w:rsidRPr="00965747">
        <w:rPr>
          <w:rFonts w:asciiTheme="majorBidi" w:hAnsiTheme="majorBidi" w:cstheme="majorBidi"/>
          <w:sz w:val="20"/>
          <w:szCs w:val="20"/>
          <w:rtl/>
        </w:rPr>
        <w:t>‏</w:t>
      </w:r>
    </w:p>
    <w:p w14:paraId="275D5828" w14:textId="77777777" w:rsidR="00965747" w:rsidRDefault="00965747" w:rsidP="00965747">
      <w:pPr>
        <w:pStyle w:val="ListParagraph"/>
        <w:numPr>
          <w:ilvl w:val="0"/>
          <w:numId w:val="18"/>
        </w:numPr>
        <w:bidi w:val="0"/>
        <w:spacing w:after="0" w:line="240" w:lineRule="auto"/>
        <w:ind w:left="360" w:hanging="270"/>
        <w:contextualSpacing w:val="0"/>
        <w:jc w:val="both"/>
        <w:rPr>
          <w:rFonts w:asciiTheme="majorBidi" w:hAnsiTheme="majorBidi" w:cstheme="majorBidi"/>
          <w:sz w:val="20"/>
          <w:szCs w:val="20"/>
        </w:rPr>
      </w:pPr>
      <w:r w:rsidRPr="00791836">
        <w:rPr>
          <w:rFonts w:asciiTheme="majorBidi" w:hAnsiTheme="majorBidi" w:cstheme="majorBidi"/>
          <w:sz w:val="20"/>
          <w:szCs w:val="20"/>
          <w:lang w:val="nl-NL"/>
        </w:rPr>
        <w:t xml:space="preserve">Sanders, M. C., Goldstein, A. L., &amp; Wang, Y. L. (1992). </w:t>
      </w:r>
      <w:r w:rsidRPr="00965747">
        <w:rPr>
          <w:rFonts w:asciiTheme="majorBidi" w:hAnsiTheme="majorBidi" w:cstheme="majorBidi"/>
          <w:sz w:val="20"/>
          <w:szCs w:val="20"/>
        </w:rPr>
        <w:t>Thymosin beta 4 (Fx peptide) is a potent regulator of actin polymerization in living cells. </w:t>
      </w:r>
      <w:r w:rsidRPr="00965747">
        <w:rPr>
          <w:rFonts w:asciiTheme="majorBidi" w:hAnsiTheme="majorBidi" w:cstheme="majorBidi"/>
          <w:i/>
          <w:iCs/>
          <w:sz w:val="20"/>
          <w:szCs w:val="20"/>
        </w:rPr>
        <w:t>Proceedings of the National Academy of Sciences</w:t>
      </w:r>
      <w:r w:rsidRPr="00965747">
        <w:rPr>
          <w:rFonts w:asciiTheme="majorBidi" w:hAnsiTheme="majorBidi" w:cstheme="majorBidi"/>
          <w:sz w:val="20"/>
          <w:szCs w:val="20"/>
        </w:rPr>
        <w:t>, </w:t>
      </w:r>
      <w:r w:rsidRPr="00965747">
        <w:rPr>
          <w:rFonts w:asciiTheme="majorBidi" w:hAnsiTheme="majorBidi" w:cstheme="majorBidi"/>
          <w:i/>
          <w:iCs/>
          <w:sz w:val="20"/>
          <w:szCs w:val="20"/>
        </w:rPr>
        <w:t>89</w:t>
      </w:r>
      <w:r w:rsidRPr="00965747">
        <w:rPr>
          <w:rFonts w:asciiTheme="majorBidi" w:hAnsiTheme="majorBidi" w:cstheme="majorBidi"/>
          <w:sz w:val="20"/>
          <w:szCs w:val="20"/>
        </w:rPr>
        <w:t>(10), 4678-4682.</w:t>
      </w:r>
      <w:r w:rsidRPr="00965747">
        <w:rPr>
          <w:rFonts w:asciiTheme="majorBidi" w:hAnsiTheme="majorBidi" w:cstheme="majorBidi"/>
          <w:sz w:val="20"/>
          <w:szCs w:val="20"/>
          <w:rtl/>
        </w:rPr>
        <w:t>‏</w:t>
      </w:r>
    </w:p>
    <w:p w14:paraId="64BB4FD8" w14:textId="77777777" w:rsidR="00965747" w:rsidRDefault="00965747" w:rsidP="00965747">
      <w:pPr>
        <w:pStyle w:val="ListParagraph"/>
        <w:numPr>
          <w:ilvl w:val="0"/>
          <w:numId w:val="18"/>
        </w:numPr>
        <w:bidi w:val="0"/>
        <w:spacing w:after="0" w:line="240" w:lineRule="auto"/>
        <w:contextualSpacing w:val="0"/>
        <w:jc w:val="both"/>
        <w:rPr>
          <w:rFonts w:asciiTheme="majorBidi" w:hAnsiTheme="majorBidi" w:cstheme="majorBidi"/>
          <w:sz w:val="20"/>
          <w:szCs w:val="20"/>
        </w:rPr>
      </w:pPr>
      <w:bookmarkStart w:id="9" w:name="_Hlk195776758"/>
      <w:r w:rsidRPr="00965747">
        <w:rPr>
          <w:rFonts w:asciiTheme="majorBidi" w:hAnsiTheme="majorBidi" w:cstheme="majorBidi"/>
          <w:sz w:val="20"/>
          <w:szCs w:val="20"/>
        </w:rPr>
        <w:t>Bock-Marquette, I., Saxena, A., White, M. D., Michael DiMaio, J., &amp; Srivastava, D. (2004). Thymosin β4 activates integrin-linked kinase and promotes cardiac cell migration, survival and cardiac repair. </w:t>
      </w:r>
      <w:r w:rsidRPr="00965747">
        <w:rPr>
          <w:rFonts w:asciiTheme="majorBidi" w:hAnsiTheme="majorBidi" w:cstheme="majorBidi"/>
          <w:i/>
          <w:iCs/>
          <w:sz w:val="20"/>
          <w:szCs w:val="20"/>
        </w:rPr>
        <w:t>Nature</w:t>
      </w:r>
      <w:r w:rsidRPr="00965747">
        <w:rPr>
          <w:rFonts w:asciiTheme="majorBidi" w:hAnsiTheme="majorBidi" w:cstheme="majorBidi"/>
          <w:sz w:val="20"/>
          <w:szCs w:val="20"/>
        </w:rPr>
        <w:t>, </w:t>
      </w:r>
      <w:r w:rsidRPr="00965747">
        <w:rPr>
          <w:rFonts w:asciiTheme="majorBidi" w:hAnsiTheme="majorBidi" w:cstheme="majorBidi"/>
          <w:i/>
          <w:iCs/>
          <w:sz w:val="20"/>
          <w:szCs w:val="20"/>
        </w:rPr>
        <w:t>432</w:t>
      </w:r>
      <w:r w:rsidRPr="00965747">
        <w:rPr>
          <w:rFonts w:asciiTheme="majorBidi" w:hAnsiTheme="majorBidi" w:cstheme="majorBidi"/>
          <w:sz w:val="20"/>
          <w:szCs w:val="20"/>
        </w:rPr>
        <w:t>(7016), 466-472.</w:t>
      </w:r>
      <w:r w:rsidRPr="00965747">
        <w:rPr>
          <w:rFonts w:asciiTheme="majorBidi" w:hAnsiTheme="majorBidi" w:cstheme="majorBidi"/>
          <w:sz w:val="20"/>
          <w:szCs w:val="20"/>
          <w:rtl/>
        </w:rPr>
        <w:t>‏</w:t>
      </w:r>
    </w:p>
    <w:bookmarkEnd w:id="9"/>
    <w:p w14:paraId="1B7DABAC" w14:textId="1F17E143" w:rsidR="002129F0" w:rsidRPr="00ED4BA7" w:rsidRDefault="00965747" w:rsidP="00965747">
      <w:pPr>
        <w:pStyle w:val="ListParagraph"/>
        <w:numPr>
          <w:ilvl w:val="0"/>
          <w:numId w:val="18"/>
        </w:numPr>
        <w:bidi w:val="0"/>
        <w:spacing w:after="0" w:line="240" w:lineRule="auto"/>
        <w:ind w:left="360" w:hanging="270"/>
        <w:contextualSpacing w:val="0"/>
        <w:jc w:val="both"/>
        <w:rPr>
          <w:rFonts w:asciiTheme="majorBidi" w:hAnsiTheme="majorBidi" w:cstheme="majorBidi"/>
          <w:sz w:val="20"/>
          <w:szCs w:val="20"/>
        </w:rPr>
      </w:pPr>
      <w:r w:rsidRPr="00965747">
        <w:rPr>
          <w:rFonts w:asciiTheme="majorBidi" w:hAnsiTheme="majorBidi" w:cstheme="majorBidi"/>
          <w:sz w:val="20"/>
          <w:szCs w:val="20"/>
        </w:rPr>
        <w:t>Gómez-Márquez, J., del Amo, F. F., Carpintero, P., &amp; Anadón, R. (1996). High levels of mouse thymosin β4 mRNA in differentiating P19 embryonic cells and during development of cardiovascular tissues. </w:t>
      </w:r>
      <w:r w:rsidRPr="00965747">
        <w:rPr>
          <w:rFonts w:asciiTheme="majorBidi" w:hAnsiTheme="majorBidi" w:cstheme="majorBidi"/>
          <w:i/>
          <w:iCs/>
          <w:sz w:val="20"/>
          <w:szCs w:val="20"/>
        </w:rPr>
        <w:t>Biochimica et Biophysica Acta (BBA)-Gene Structure and Expression</w:t>
      </w:r>
      <w:r w:rsidRPr="00965747">
        <w:rPr>
          <w:rFonts w:asciiTheme="majorBidi" w:hAnsiTheme="majorBidi" w:cstheme="majorBidi"/>
          <w:sz w:val="20"/>
          <w:szCs w:val="20"/>
        </w:rPr>
        <w:t>, </w:t>
      </w:r>
      <w:r w:rsidRPr="00965747">
        <w:rPr>
          <w:rFonts w:asciiTheme="majorBidi" w:hAnsiTheme="majorBidi" w:cstheme="majorBidi"/>
          <w:i/>
          <w:iCs/>
          <w:sz w:val="20"/>
          <w:szCs w:val="20"/>
        </w:rPr>
        <w:t>1306</w:t>
      </w:r>
      <w:r w:rsidRPr="00965747">
        <w:rPr>
          <w:rFonts w:asciiTheme="majorBidi" w:hAnsiTheme="majorBidi" w:cstheme="majorBidi"/>
          <w:sz w:val="20"/>
          <w:szCs w:val="20"/>
        </w:rPr>
        <w:t>(2-3), 187-193.</w:t>
      </w:r>
      <w:r w:rsidRPr="00965747">
        <w:rPr>
          <w:rFonts w:asciiTheme="majorBidi" w:hAnsiTheme="majorBidi" w:cstheme="majorBidi"/>
          <w:sz w:val="20"/>
          <w:szCs w:val="20"/>
          <w:rtl/>
        </w:rPr>
        <w:t>‏</w:t>
      </w:r>
      <w:r w:rsidR="002129F0" w:rsidRPr="002129F0">
        <w:rPr>
          <w:rFonts w:asciiTheme="majorBidi" w:hAnsiTheme="majorBidi" w:cs="Times New Roman"/>
          <w:sz w:val="20"/>
          <w:szCs w:val="20"/>
          <w:rtl/>
        </w:rPr>
        <w:t>‏</w:t>
      </w:r>
    </w:p>
    <w:p w14:paraId="44F0C5A9" w14:textId="77777777" w:rsidR="002129F0" w:rsidRPr="000E6E03" w:rsidRDefault="002129F0" w:rsidP="002129F0">
      <w:pPr>
        <w:bidi w:val="0"/>
        <w:spacing w:after="0" w:line="240" w:lineRule="auto"/>
        <w:jc w:val="both"/>
        <w:rPr>
          <w:rFonts w:asciiTheme="majorBidi" w:hAnsiTheme="majorBidi" w:cstheme="majorBidi"/>
          <w:sz w:val="20"/>
          <w:szCs w:val="20"/>
        </w:rPr>
      </w:pPr>
    </w:p>
    <w:p w14:paraId="2E15F34D" w14:textId="43ADCAA2" w:rsidR="00EA5D44" w:rsidRDefault="007662F0" w:rsidP="007662F0">
      <w:pPr>
        <w:pStyle w:val="ListParagraph"/>
        <w:numPr>
          <w:ilvl w:val="0"/>
          <w:numId w:val="18"/>
        </w:numPr>
        <w:bidi w:val="0"/>
        <w:spacing w:after="0" w:line="240" w:lineRule="auto"/>
        <w:ind w:left="360" w:hanging="270"/>
        <w:contextualSpacing w:val="0"/>
        <w:jc w:val="both"/>
        <w:rPr>
          <w:rFonts w:asciiTheme="majorBidi" w:hAnsiTheme="majorBidi" w:cstheme="majorBidi"/>
          <w:sz w:val="20"/>
          <w:szCs w:val="20"/>
        </w:rPr>
      </w:pPr>
      <w:r w:rsidRPr="007662F0">
        <w:rPr>
          <w:rFonts w:asciiTheme="majorBidi" w:hAnsiTheme="majorBidi" w:cstheme="majorBidi"/>
          <w:sz w:val="20"/>
          <w:szCs w:val="20"/>
        </w:rPr>
        <w:t>Dolma, S., Lessnick, S. L., Hahn, W. C., &amp; Stockwell, B. R. (2003). Identification of genotype-selective antitumor agents using synthetic lethal chemical screening in engineered human tumor cells. </w:t>
      </w:r>
      <w:r w:rsidRPr="007662F0">
        <w:rPr>
          <w:rFonts w:asciiTheme="majorBidi" w:hAnsiTheme="majorBidi" w:cstheme="majorBidi"/>
          <w:i/>
          <w:iCs/>
          <w:sz w:val="20"/>
          <w:szCs w:val="20"/>
        </w:rPr>
        <w:t>Cancer cell</w:t>
      </w:r>
      <w:r w:rsidRPr="007662F0">
        <w:rPr>
          <w:rFonts w:asciiTheme="majorBidi" w:hAnsiTheme="majorBidi" w:cstheme="majorBidi"/>
          <w:sz w:val="20"/>
          <w:szCs w:val="20"/>
        </w:rPr>
        <w:t>, </w:t>
      </w:r>
      <w:r w:rsidRPr="007662F0">
        <w:rPr>
          <w:rFonts w:asciiTheme="majorBidi" w:hAnsiTheme="majorBidi" w:cstheme="majorBidi"/>
          <w:i/>
          <w:iCs/>
          <w:sz w:val="20"/>
          <w:szCs w:val="20"/>
        </w:rPr>
        <w:t>3</w:t>
      </w:r>
      <w:r w:rsidRPr="007662F0">
        <w:rPr>
          <w:rFonts w:asciiTheme="majorBidi" w:hAnsiTheme="majorBidi" w:cstheme="majorBidi"/>
          <w:sz w:val="20"/>
          <w:szCs w:val="20"/>
        </w:rPr>
        <w:t>(3), 285-296.</w:t>
      </w:r>
      <w:r w:rsidRPr="007662F0">
        <w:rPr>
          <w:rFonts w:asciiTheme="majorBidi" w:hAnsiTheme="majorBidi" w:cstheme="majorBidi"/>
          <w:sz w:val="20"/>
          <w:szCs w:val="20"/>
          <w:rtl/>
        </w:rPr>
        <w:t>‏</w:t>
      </w:r>
    </w:p>
    <w:p w14:paraId="6ABFD3CE" w14:textId="77777777" w:rsidR="007662F0" w:rsidRPr="007662F0" w:rsidRDefault="007662F0" w:rsidP="007662F0">
      <w:pPr>
        <w:pStyle w:val="ListParagraph"/>
        <w:rPr>
          <w:rFonts w:asciiTheme="majorBidi" w:hAnsiTheme="majorBidi" w:cstheme="majorBidi"/>
          <w:sz w:val="20"/>
          <w:szCs w:val="20"/>
        </w:rPr>
      </w:pPr>
    </w:p>
    <w:p w14:paraId="34F3097D" w14:textId="38E5C963" w:rsidR="007662F0" w:rsidRDefault="007662F0" w:rsidP="007662F0">
      <w:pPr>
        <w:pStyle w:val="ListParagraph"/>
        <w:numPr>
          <w:ilvl w:val="0"/>
          <w:numId w:val="18"/>
        </w:numPr>
        <w:bidi w:val="0"/>
        <w:spacing w:after="0" w:line="240" w:lineRule="auto"/>
        <w:ind w:left="360" w:hanging="270"/>
        <w:contextualSpacing w:val="0"/>
        <w:jc w:val="both"/>
        <w:rPr>
          <w:rFonts w:asciiTheme="majorBidi" w:hAnsiTheme="majorBidi" w:cstheme="majorBidi"/>
          <w:sz w:val="20"/>
          <w:szCs w:val="20"/>
        </w:rPr>
      </w:pPr>
      <w:r w:rsidRPr="007662F0">
        <w:rPr>
          <w:rFonts w:asciiTheme="majorBidi" w:hAnsiTheme="majorBidi" w:cstheme="majorBidi"/>
          <w:sz w:val="20"/>
          <w:szCs w:val="20"/>
        </w:rPr>
        <w:t>Dixon, S. J., Lemberg, K. M., Lamprecht, M. R., Skouta, R., Zaitsev, E. M., Gleason, C. E., ... &amp; Stockwell, B. R. (2012). Ferroptosis: an iron-dependent form of nonapoptotic cell death. </w:t>
      </w:r>
      <w:r w:rsidRPr="007662F0">
        <w:rPr>
          <w:rFonts w:asciiTheme="majorBidi" w:hAnsiTheme="majorBidi" w:cstheme="majorBidi"/>
          <w:i/>
          <w:iCs/>
          <w:sz w:val="20"/>
          <w:szCs w:val="20"/>
        </w:rPr>
        <w:t>cell</w:t>
      </w:r>
      <w:r w:rsidRPr="007662F0">
        <w:rPr>
          <w:rFonts w:asciiTheme="majorBidi" w:hAnsiTheme="majorBidi" w:cstheme="majorBidi"/>
          <w:sz w:val="20"/>
          <w:szCs w:val="20"/>
        </w:rPr>
        <w:t>, </w:t>
      </w:r>
      <w:r w:rsidRPr="007662F0">
        <w:rPr>
          <w:rFonts w:asciiTheme="majorBidi" w:hAnsiTheme="majorBidi" w:cstheme="majorBidi"/>
          <w:i/>
          <w:iCs/>
          <w:sz w:val="20"/>
          <w:szCs w:val="20"/>
        </w:rPr>
        <w:t>149</w:t>
      </w:r>
      <w:r w:rsidRPr="007662F0">
        <w:rPr>
          <w:rFonts w:asciiTheme="majorBidi" w:hAnsiTheme="majorBidi" w:cstheme="majorBidi"/>
          <w:sz w:val="20"/>
          <w:szCs w:val="20"/>
        </w:rPr>
        <w:t>(5), 1060-1072.</w:t>
      </w:r>
      <w:r w:rsidRPr="007662F0">
        <w:rPr>
          <w:rFonts w:asciiTheme="majorBidi" w:hAnsiTheme="majorBidi" w:cstheme="majorBidi"/>
          <w:sz w:val="20"/>
          <w:szCs w:val="20"/>
          <w:rtl/>
        </w:rPr>
        <w:t>‏</w:t>
      </w:r>
    </w:p>
    <w:p w14:paraId="6842966F" w14:textId="77777777" w:rsidR="007662F0" w:rsidRPr="007662F0" w:rsidRDefault="007662F0" w:rsidP="007662F0">
      <w:pPr>
        <w:pStyle w:val="ListParagraph"/>
        <w:rPr>
          <w:rFonts w:asciiTheme="majorBidi" w:hAnsiTheme="majorBidi" w:cstheme="majorBidi"/>
          <w:sz w:val="20"/>
          <w:szCs w:val="20"/>
        </w:rPr>
      </w:pPr>
    </w:p>
    <w:p w14:paraId="2317EF43" w14:textId="08E73FAD" w:rsidR="007662F0" w:rsidRDefault="007662F0" w:rsidP="007662F0">
      <w:pPr>
        <w:pStyle w:val="ListParagraph"/>
        <w:numPr>
          <w:ilvl w:val="0"/>
          <w:numId w:val="18"/>
        </w:numPr>
        <w:bidi w:val="0"/>
        <w:spacing w:after="0" w:line="240" w:lineRule="auto"/>
        <w:ind w:left="360" w:hanging="270"/>
        <w:contextualSpacing w:val="0"/>
        <w:jc w:val="both"/>
        <w:rPr>
          <w:rFonts w:asciiTheme="majorBidi" w:hAnsiTheme="majorBidi" w:cstheme="majorBidi"/>
          <w:sz w:val="20"/>
          <w:szCs w:val="20"/>
        </w:rPr>
      </w:pPr>
      <w:r w:rsidRPr="00791836">
        <w:rPr>
          <w:rFonts w:asciiTheme="majorBidi" w:hAnsiTheme="majorBidi" w:cstheme="majorBidi"/>
          <w:sz w:val="20"/>
          <w:szCs w:val="20"/>
          <w:lang w:val="nl-NL"/>
        </w:rPr>
        <w:t xml:space="preserve">Wu, Z., Geng, Y., Lu, X., Shi, Y., Wu, G., Zhang, M., ... </w:t>
      </w:r>
      <w:r w:rsidRPr="007662F0">
        <w:rPr>
          <w:rFonts w:asciiTheme="majorBidi" w:hAnsiTheme="majorBidi" w:cstheme="majorBidi"/>
          <w:sz w:val="20"/>
          <w:szCs w:val="20"/>
        </w:rPr>
        <w:t>&amp; Yuan, J. (2019). Chaperone-mediated autophagy is involved in the execution of ferroptosis. </w:t>
      </w:r>
      <w:r w:rsidRPr="007662F0">
        <w:rPr>
          <w:rFonts w:asciiTheme="majorBidi" w:hAnsiTheme="majorBidi" w:cstheme="majorBidi"/>
          <w:i/>
          <w:iCs/>
          <w:sz w:val="20"/>
          <w:szCs w:val="20"/>
        </w:rPr>
        <w:t>Proceedings of the National Academy of Sciences</w:t>
      </w:r>
      <w:r w:rsidRPr="007662F0">
        <w:rPr>
          <w:rFonts w:asciiTheme="majorBidi" w:hAnsiTheme="majorBidi" w:cstheme="majorBidi"/>
          <w:sz w:val="20"/>
          <w:szCs w:val="20"/>
        </w:rPr>
        <w:t>, </w:t>
      </w:r>
      <w:r w:rsidRPr="007662F0">
        <w:rPr>
          <w:rFonts w:asciiTheme="majorBidi" w:hAnsiTheme="majorBidi" w:cstheme="majorBidi"/>
          <w:i/>
          <w:iCs/>
          <w:sz w:val="20"/>
          <w:szCs w:val="20"/>
        </w:rPr>
        <w:t>116</w:t>
      </w:r>
      <w:r w:rsidRPr="007662F0">
        <w:rPr>
          <w:rFonts w:asciiTheme="majorBidi" w:hAnsiTheme="majorBidi" w:cstheme="majorBidi"/>
          <w:sz w:val="20"/>
          <w:szCs w:val="20"/>
        </w:rPr>
        <w:t>(8), 2996-3005.</w:t>
      </w:r>
      <w:r w:rsidRPr="007662F0">
        <w:rPr>
          <w:rFonts w:asciiTheme="majorBidi" w:hAnsiTheme="majorBidi" w:cstheme="majorBidi"/>
          <w:sz w:val="20"/>
          <w:szCs w:val="20"/>
          <w:rtl/>
        </w:rPr>
        <w:t>‏</w:t>
      </w:r>
    </w:p>
    <w:p w14:paraId="4F499ADA" w14:textId="77777777" w:rsidR="00F206AC" w:rsidRPr="00F206AC" w:rsidRDefault="00F206AC" w:rsidP="00F206AC">
      <w:pPr>
        <w:pStyle w:val="ListParagraph"/>
        <w:rPr>
          <w:rFonts w:asciiTheme="majorBidi" w:hAnsiTheme="majorBidi" w:cstheme="majorBidi"/>
          <w:sz w:val="20"/>
          <w:szCs w:val="20"/>
        </w:rPr>
      </w:pPr>
    </w:p>
    <w:p w14:paraId="210FAB42" w14:textId="77777777" w:rsidR="00F206AC" w:rsidRPr="00F206AC" w:rsidRDefault="00F206AC" w:rsidP="00F206AC">
      <w:pPr>
        <w:pStyle w:val="ListParagraph"/>
        <w:numPr>
          <w:ilvl w:val="0"/>
          <w:numId w:val="18"/>
        </w:numPr>
        <w:bidi w:val="0"/>
        <w:spacing w:after="0" w:line="240" w:lineRule="auto"/>
        <w:ind w:left="360" w:hanging="270"/>
        <w:contextualSpacing w:val="0"/>
        <w:jc w:val="both"/>
        <w:rPr>
          <w:rFonts w:asciiTheme="majorBidi" w:hAnsiTheme="majorBidi" w:cstheme="majorBidi"/>
          <w:sz w:val="20"/>
          <w:szCs w:val="20"/>
        </w:rPr>
      </w:pPr>
      <w:r w:rsidRPr="00F206AC">
        <w:rPr>
          <w:rFonts w:asciiTheme="majorBidi" w:hAnsiTheme="majorBidi" w:cstheme="majorBidi"/>
          <w:sz w:val="20"/>
          <w:szCs w:val="20"/>
        </w:rPr>
        <w:t>Zhang, W., Liu, Y., Liao, Y., Zhu, C., &amp; Zou, Z. (2024). GPX4, ferroptosis, and diseases. Biomedicine &amp; Pharmacotherapy, 174, 116512.</w:t>
      </w:r>
      <w:r w:rsidRPr="00F206AC">
        <w:rPr>
          <w:rFonts w:asciiTheme="majorBidi" w:hAnsiTheme="majorBidi" w:cs="Times New Roman"/>
          <w:sz w:val="20"/>
          <w:szCs w:val="20"/>
          <w:rtl/>
        </w:rPr>
        <w:t>‏</w:t>
      </w:r>
    </w:p>
    <w:p w14:paraId="7129B4F3" w14:textId="77777777" w:rsidR="00F206AC" w:rsidRPr="00F206AC" w:rsidRDefault="00F206AC" w:rsidP="00F206AC">
      <w:pPr>
        <w:pStyle w:val="ListParagraph"/>
        <w:rPr>
          <w:rFonts w:asciiTheme="majorBidi" w:hAnsiTheme="majorBidi" w:cs="Times New Roman" w:hint="cs"/>
          <w:sz w:val="20"/>
          <w:szCs w:val="20"/>
          <w:rtl/>
        </w:rPr>
      </w:pPr>
    </w:p>
    <w:p w14:paraId="1BAC253E" w14:textId="5539AF87" w:rsidR="00320F57" w:rsidRPr="00F206AC" w:rsidRDefault="00F206AC" w:rsidP="00F206AC">
      <w:pPr>
        <w:pStyle w:val="ListParagraph"/>
        <w:bidi w:val="0"/>
        <w:spacing w:after="0" w:line="240" w:lineRule="auto"/>
        <w:ind w:left="360"/>
        <w:contextualSpacing w:val="0"/>
        <w:jc w:val="both"/>
        <w:rPr>
          <w:rFonts w:asciiTheme="majorBidi" w:hAnsiTheme="majorBidi" w:cstheme="majorBidi"/>
          <w:sz w:val="20"/>
          <w:szCs w:val="20"/>
        </w:rPr>
      </w:pPr>
      <w:r w:rsidRPr="00F206AC">
        <w:rPr>
          <w:rFonts w:asciiTheme="majorBidi" w:hAnsiTheme="majorBidi" w:cs="Times New Roman"/>
          <w:sz w:val="20"/>
          <w:szCs w:val="20"/>
          <w:rtl/>
        </w:rPr>
        <w:t>.‏</w:t>
      </w:r>
    </w:p>
    <w:p w14:paraId="34CF9C4E" w14:textId="7EB1DBEC" w:rsidR="00320F57" w:rsidRDefault="00320F57" w:rsidP="00320F57">
      <w:pPr>
        <w:pStyle w:val="ListParagraph"/>
        <w:numPr>
          <w:ilvl w:val="0"/>
          <w:numId w:val="18"/>
        </w:numPr>
        <w:bidi w:val="0"/>
        <w:spacing w:after="0" w:line="240" w:lineRule="auto"/>
        <w:ind w:left="360" w:hanging="270"/>
        <w:contextualSpacing w:val="0"/>
        <w:jc w:val="both"/>
        <w:rPr>
          <w:rFonts w:asciiTheme="majorBidi" w:hAnsiTheme="majorBidi" w:cstheme="majorBidi"/>
          <w:sz w:val="20"/>
          <w:szCs w:val="20"/>
        </w:rPr>
      </w:pPr>
      <w:r w:rsidRPr="00320F57">
        <w:rPr>
          <w:rFonts w:asciiTheme="majorBidi" w:hAnsiTheme="majorBidi" w:cstheme="majorBidi"/>
          <w:sz w:val="20"/>
          <w:szCs w:val="20"/>
        </w:rPr>
        <w:t>Nasir, K. (2014). Heart disease and stroke statistics-2015 update: a report from the American Heart Association.</w:t>
      </w:r>
      <w:r w:rsidRPr="00320F57">
        <w:rPr>
          <w:rFonts w:asciiTheme="majorBidi" w:hAnsiTheme="majorBidi" w:cstheme="majorBidi"/>
          <w:sz w:val="20"/>
          <w:szCs w:val="20"/>
          <w:rtl/>
        </w:rPr>
        <w:t>‏</w:t>
      </w:r>
    </w:p>
    <w:p w14:paraId="6D243136" w14:textId="77777777" w:rsidR="00603438" w:rsidRPr="00603438" w:rsidRDefault="00603438" w:rsidP="00603438">
      <w:pPr>
        <w:pStyle w:val="ListParagraph"/>
        <w:rPr>
          <w:rFonts w:asciiTheme="majorBidi" w:hAnsiTheme="majorBidi" w:cstheme="majorBidi"/>
          <w:sz w:val="20"/>
          <w:szCs w:val="20"/>
        </w:rPr>
      </w:pPr>
    </w:p>
    <w:p w14:paraId="31F4FE82" w14:textId="7EBE5FE4" w:rsidR="00603438" w:rsidRPr="00946D85" w:rsidRDefault="00603438" w:rsidP="00946D85">
      <w:pPr>
        <w:pStyle w:val="ListParagraph"/>
        <w:numPr>
          <w:ilvl w:val="0"/>
          <w:numId w:val="18"/>
        </w:numPr>
        <w:bidi w:val="0"/>
        <w:spacing w:after="0" w:line="240" w:lineRule="auto"/>
        <w:ind w:left="360" w:hanging="270"/>
        <w:contextualSpacing w:val="0"/>
        <w:jc w:val="both"/>
        <w:rPr>
          <w:rFonts w:asciiTheme="majorBidi" w:hAnsiTheme="majorBidi" w:cstheme="majorBidi"/>
          <w:sz w:val="20"/>
          <w:szCs w:val="20"/>
        </w:rPr>
      </w:pPr>
      <w:r w:rsidRPr="00946D85">
        <w:rPr>
          <w:rFonts w:asciiTheme="majorBidi" w:hAnsiTheme="majorBidi" w:cstheme="majorBidi"/>
          <w:sz w:val="20"/>
          <w:szCs w:val="20"/>
        </w:rPr>
        <w:t>B</w:t>
      </w:r>
      <w:r w:rsidR="00946D85" w:rsidRPr="00946D85">
        <w:rPr>
          <w:rFonts w:ascii="Arial" w:hAnsi="Arial"/>
          <w:color w:val="222222"/>
          <w:sz w:val="20"/>
          <w:szCs w:val="20"/>
          <w:shd w:val="clear" w:color="auto" w:fill="FFFFFF"/>
        </w:rPr>
        <w:t xml:space="preserve"> </w:t>
      </w:r>
      <w:r w:rsidR="00946D85" w:rsidRPr="00946D85">
        <w:rPr>
          <w:rFonts w:asciiTheme="majorBidi" w:hAnsiTheme="majorBidi" w:cstheme="majorBidi"/>
          <w:sz w:val="20"/>
          <w:szCs w:val="20"/>
        </w:rPr>
        <w:t>Palasubramaniam, J., Wang, X., &amp; Peter, K. (2019). Myocardial infarction—From atherosclerosis to thrombosis: Uncovering new diagnostic and therapeutic approaches. </w:t>
      </w:r>
      <w:r w:rsidR="00946D85" w:rsidRPr="00946D85">
        <w:rPr>
          <w:rFonts w:asciiTheme="majorBidi" w:hAnsiTheme="majorBidi" w:cstheme="majorBidi"/>
          <w:i/>
          <w:iCs/>
          <w:sz w:val="20"/>
          <w:szCs w:val="20"/>
        </w:rPr>
        <w:t>Arteriosclerosis, thrombosis, and vascular biology</w:t>
      </w:r>
      <w:r w:rsidR="00946D85" w:rsidRPr="00946D85">
        <w:rPr>
          <w:rFonts w:asciiTheme="majorBidi" w:hAnsiTheme="majorBidi" w:cstheme="majorBidi"/>
          <w:sz w:val="20"/>
          <w:szCs w:val="20"/>
        </w:rPr>
        <w:t>, </w:t>
      </w:r>
      <w:r w:rsidR="00946D85" w:rsidRPr="00946D85">
        <w:rPr>
          <w:rFonts w:asciiTheme="majorBidi" w:hAnsiTheme="majorBidi" w:cstheme="majorBidi"/>
          <w:i/>
          <w:iCs/>
          <w:sz w:val="20"/>
          <w:szCs w:val="20"/>
        </w:rPr>
        <w:t>39</w:t>
      </w:r>
      <w:r w:rsidR="00946D85" w:rsidRPr="00946D85">
        <w:rPr>
          <w:rFonts w:asciiTheme="majorBidi" w:hAnsiTheme="majorBidi" w:cstheme="majorBidi"/>
          <w:sz w:val="20"/>
          <w:szCs w:val="20"/>
        </w:rPr>
        <w:t>(8), e176-e185.</w:t>
      </w:r>
      <w:r w:rsidR="00946D85" w:rsidRPr="00946D85">
        <w:rPr>
          <w:rFonts w:asciiTheme="majorBidi" w:hAnsiTheme="majorBidi" w:cstheme="majorBidi"/>
          <w:sz w:val="20"/>
          <w:szCs w:val="20"/>
          <w:rtl/>
        </w:rPr>
        <w:t>‏</w:t>
      </w:r>
    </w:p>
    <w:p w14:paraId="01357BA9" w14:textId="77777777" w:rsidR="00603438" w:rsidRDefault="00603438" w:rsidP="00603438">
      <w:pPr>
        <w:pStyle w:val="ListParagraph"/>
        <w:numPr>
          <w:ilvl w:val="0"/>
          <w:numId w:val="18"/>
        </w:numPr>
        <w:bidi w:val="0"/>
        <w:spacing w:after="0" w:line="240" w:lineRule="auto"/>
        <w:contextualSpacing w:val="0"/>
        <w:jc w:val="both"/>
        <w:rPr>
          <w:rFonts w:asciiTheme="majorBidi" w:hAnsiTheme="majorBidi" w:cstheme="majorBidi"/>
          <w:sz w:val="20"/>
          <w:szCs w:val="20"/>
        </w:rPr>
      </w:pPr>
      <w:r w:rsidRPr="00603438">
        <w:rPr>
          <w:rFonts w:asciiTheme="majorBidi" w:hAnsiTheme="majorBidi" w:cstheme="majorBidi"/>
          <w:sz w:val="20"/>
          <w:szCs w:val="20"/>
        </w:rPr>
        <w:t>Bentzon, J. F., Otsuka, F., Virmani, R., &amp; Falk, E. (2014). Mechanisms of plaque formation and rupture. </w:t>
      </w:r>
      <w:r w:rsidRPr="00603438">
        <w:rPr>
          <w:rFonts w:asciiTheme="majorBidi" w:hAnsiTheme="majorBidi" w:cstheme="majorBidi"/>
          <w:i/>
          <w:iCs/>
          <w:sz w:val="20"/>
          <w:szCs w:val="20"/>
        </w:rPr>
        <w:t>Circulation research</w:t>
      </w:r>
      <w:r w:rsidRPr="00603438">
        <w:rPr>
          <w:rFonts w:asciiTheme="majorBidi" w:hAnsiTheme="majorBidi" w:cstheme="majorBidi"/>
          <w:sz w:val="20"/>
          <w:szCs w:val="20"/>
        </w:rPr>
        <w:t>, </w:t>
      </w:r>
      <w:r w:rsidRPr="00603438">
        <w:rPr>
          <w:rFonts w:asciiTheme="majorBidi" w:hAnsiTheme="majorBidi" w:cstheme="majorBidi"/>
          <w:i/>
          <w:iCs/>
          <w:sz w:val="20"/>
          <w:szCs w:val="20"/>
        </w:rPr>
        <w:t>114</w:t>
      </w:r>
      <w:r w:rsidRPr="00603438">
        <w:rPr>
          <w:rFonts w:asciiTheme="majorBidi" w:hAnsiTheme="majorBidi" w:cstheme="majorBidi"/>
          <w:sz w:val="20"/>
          <w:szCs w:val="20"/>
        </w:rPr>
        <w:t>(12), 1852-1866.</w:t>
      </w:r>
      <w:r w:rsidRPr="00603438">
        <w:rPr>
          <w:rFonts w:asciiTheme="majorBidi" w:hAnsiTheme="majorBidi" w:cstheme="majorBidi"/>
          <w:sz w:val="20"/>
          <w:szCs w:val="20"/>
          <w:rtl/>
        </w:rPr>
        <w:t>‏</w:t>
      </w:r>
    </w:p>
    <w:p w14:paraId="0EAA2FB5" w14:textId="56ED8FD0" w:rsidR="00603438" w:rsidRPr="00F206AC" w:rsidRDefault="00557803" w:rsidP="00603438">
      <w:pPr>
        <w:pStyle w:val="ListParagraph"/>
        <w:numPr>
          <w:ilvl w:val="0"/>
          <w:numId w:val="18"/>
        </w:numPr>
        <w:bidi w:val="0"/>
        <w:spacing w:after="0" w:line="240" w:lineRule="auto"/>
        <w:ind w:left="360" w:hanging="270"/>
        <w:contextualSpacing w:val="0"/>
        <w:jc w:val="both"/>
        <w:rPr>
          <w:rFonts w:asciiTheme="majorBidi" w:hAnsiTheme="majorBidi" w:cstheme="majorBidi"/>
          <w:sz w:val="20"/>
          <w:szCs w:val="20"/>
        </w:rPr>
      </w:pPr>
      <w:r w:rsidRPr="00557803">
        <w:rPr>
          <w:rFonts w:asciiTheme="majorBidi" w:hAnsiTheme="majorBidi" w:cstheme="majorBidi"/>
          <w:sz w:val="20"/>
          <w:szCs w:val="20"/>
        </w:rPr>
        <w:t>Lachowicz, J. I., Pichiri, G., Piludu, M., Fais, S., Orrù, G., Congiu, T., ... &amp; Coni, P. (2022). Thymosin β4 is an endogenous iron chelator and molecular switcher of ferroptosis. International Journal of Molecular Sciences, 23(1), 551.</w:t>
      </w:r>
      <w:r w:rsidRPr="00557803">
        <w:rPr>
          <w:rFonts w:asciiTheme="majorBidi" w:hAnsiTheme="majorBidi" w:cs="Times New Roman"/>
          <w:sz w:val="20"/>
          <w:szCs w:val="20"/>
          <w:rtl/>
        </w:rPr>
        <w:t>‏</w:t>
      </w:r>
    </w:p>
    <w:p w14:paraId="7E037530" w14:textId="73068A4B" w:rsidR="00F206AC" w:rsidRPr="00557803" w:rsidRDefault="00F206AC" w:rsidP="00F206AC">
      <w:pPr>
        <w:pStyle w:val="ListParagraph"/>
        <w:numPr>
          <w:ilvl w:val="0"/>
          <w:numId w:val="18"/>
        </w:numPr>
        <w:bidi w:val="0"/>
        <w:spacing w:after="0" w:line="240" w:lineRule="auto"/>
        <w:ind w:left="360" w:hanging="270"/>
        <w:contextualSpacing w:val="0"/>
        <w:jc w:val="both"/>
        <w:rPr>
          <w:rFonts w:asciiTheme="majorBidi" w:hAnsiTheme="majorBidi" w:cstheme="majorBidi"/>
          <w:sz w:val="20"/>
          <w:szCs w:val="20"/>
        </w:rPr>
      </w:pPr>
      <w:r w:rsidRPr="00F206AC">
        <w:rPr>
          <w:rFonts w:asciiTheme="majorBidi" w:hAnsiTheme="majorBidi" w:cstheme="majorBidi"/>
          <w:sz w:val="20"/>
          <w:szCs w:val="20"/>
        </w:rPr>
        <w:t>Wang, W., Jia, W., &amp; Zhang, C. (2022). The role of Tβ4-POP-Ac-SDKP Axis in organ fibrosis. </w:t>
      </w:r>
      <w:r w:rsidRPr="00F206AC">
        <w:rPr>
          <w:rFonts w:asciiTheme="majorBidi" w:hAnsiTheme="majorBidi" w:cstheme="majorBidi"/>
          <w:i/>
          <w:iCs/>
          <w:sz w:val="20"/>
          <w:szCs w:val="20"/>
        </w:rPr>
        <w:t>International Journal of Molecular Sciences</w:t>
      </w:r>
      <w:r w:rsidRPr="00F206AC">
        <w:rPr>
          <w:rFonts w:asciiTheme="majorBidi" w:hAnsiTheme="majorBidi" w:cstheme="majorBidi"/>
          <w:sz w:val="20"/>
          <w:szCs w:val="20"/>
        </w:rPr>
        <w:t>, </w:t>
      </w:r>
      <w:r w:rsidRPr="00F206AC">
        <w:rPr>
          <w:rFonts w:asciiTheme="majorBidi" w:hAnsiTheme="majorBidi" w:cstheme="majorBidi"/>
          <w:i/>
          <w:iCs/>
          <w:sz w:val="20"/>
          <w:szCs w:val="20"/>
        </w:rPr>
        <w:t>23</w:t>
      </w:r>
      <w:r w:rsidRPr="00F206AC">
        <w:rPr>
          <w:rFonts w:asciiTheme="majorBidi" w:hAnsiTheme="majorBidi" w:cstheme="majorBidi"/>
          <w:sz w:val="20"/>
          <w:szCs w:val="20"/>
        </w:rPr>
        <w:t>(21), 13282.</w:t>
      </w:r>
      <w:r w:rsidRPr="00F206AC">
        <w:rPr>
          <w:rFonts w:asciiTheme="majorBidi" w:hAnsiTheme="majorBidi" w:cstheme="majorBidi"/>
          <w:sz w:val="20"/>
          <w:szCs w:val="20"/>
          <w:rtl/>
        </w:rPr>
        <w:t>‏</w:t>
      </w:r>
    </w:p>
    <w:p w14:paraId="564F6055" w14:textId="050BDD22" w:rsidR="00557803" w:rsidRDefault="00D14553" w:rsidP="00D14553">
      <w:pPr>
        <w:pStyle w:val="ListParagraph"/>
        <w:numPr>
          <w:ilvl w:val="0"/>
          <w:numId w:val="18"/>
        </w:numPr>
        <w:bidi w:val="0"/>
        <w:spacing w:after="0" w:line="240" w:lineRule="auto"/>
        <w:ind w:left="360" w:hanging="270"/>
        <w:contextualSpacing w:val="0"/>
        <w:jc w:val="both"/>
        <w:rPr>
          <w:rFonts w:asciiTheme="majorBidi" w:hAnsiTheme="majorBidi" w:cstheme="majorBidi"/>
          <w:sz w:val="20"/>
          <w:szCs w:val="20"/>
        </w:rPr>
      </w:pPr>
      <w:r w:rsidRPr="00791836">
        <w:rPr>
          <w:rFonts w:asciiTheme="majorBidi" w:hAnsiTheme="majorBidi" w:cstheme="majorBidi"/>
          <w:sz w:val="20"/>
          <w:szCs w:val="20"/>
          <w:lang w:val="nl-NL"/>
        </w:rPr>
        <w:t xml:space="preserve">Zhu, Z., Zhang, Y., Huang, X., Can, L., Zhao, X., Wang, Y., ... &amp; Zhu, L. (2021). </w:t>
      </w:r>
      <w:r w:rsidRPr="00D14553">
        <w:rPr>
          <w:rFonts w:asciiTheme="majorBidi" w:hAnsiTheme="majorBidi" w:cstheme="majorBidi"/>
          <w:sz w:val="20"/>
          <w:szCs w:val="20"/>
        </w:rPr>
        <w:t xml:space="preserve">Thymosin beta 4 alleviates non-alcoholic fatty liver by inhibiting </w:t>
      </w:r>
      <w:r w:rsidRPr="00D14553">
        <w:rPr>
          <w:rFonts w:asciiTheme="majorBidi" w:hAnsiTheme="majorBidi" w:cstheme="majorBidi"/>
          <w:sz w:val="20"/>
          <w:szCs w:val="20"/>
        </w:rPr>
        <w:lastRenderedPageBreak/>
        <w:t>ferroptosis via up-regulation of GPX4. </w:t>
      </w:r>
      <w:r w:rsidRPr="00D14553">
        <w:rPr>
          <w:rFonts w:asciiTheme="majorBidi" w:hAnsiTheme="majorBidi" w:cstheme="majorBidi"/>
          <w:i/>
          <w:iCs/>
          <w:sz w:val="20"/>
          <w:szCs w:val="20"/>
        </w:rPr>
        <w:t>European Journal of Pharmacology</w:t>
      </w:r>
      <w:r w:rsidRPr="00D14553">
        <w:rPr>
          <w:rFonts w:asciiTheme="majorBidi" w:hAnsiTheme="majorBidi" w:cstheme="majorBidi"/>
          <w:sz w:val="20"/>
          <w:szCs w:val="20"/>
        </w:rPr>
        <w:t>, </w:t>
      </w:r>
      <w:r w:rsidRPr="00D14553">
        <w:rPr>
          <w:rFonts w:asciiTheme="majorBidi" w:hAnsiTheme="majorBidi" w:cstheme="majorBidi"/>
          <w:i/>
          <w:iCs/>
          <w:sz w:val="20"/>
          <w:szCs w:val="20"/>
        </w:rPr>
        <w:t>908</w:t>
      </w:r>
      <w:r w:rsidRPr="00D14553">
        <w:rPr>
          <w:rFonts w:asciiTheme="majorBidi" w:hAnsiTheme="majorBidi" w:cstheme="majorBidi"/>
          <w:sz w:val="20"/>
          <w:szCs w:val="20"/>
        </w:rPr>
        <w:t>, 174351.</w:t>
      </w:r>
      <w:r w:rsidRPr="00D14553">
        <w:rPr>
          <w:rFonts w:asciiTheme="majorBidi" w:hAnsiTheme="majorBidi" w:cstheme="majorBidi"/>
          <w:sz w:val="20"/>
          <w:szCs w:val="20"/>
          <w:rtl/>
        </w:rPr>
        <w:t>‏</w:t>
      </w:r>
    </w:p>
    <w:p w14:paraId="748874A2" w14:textId="35397A13" w:rsidR="00D14553" w:rsidRDefault="00D14553" w:rsidP="00D14553">
      <w:pPr>
        <w:pStyle w:val="ListParagraph"/>
        <w:numPr>
          <w:ilvl w:val="0"/>
          <w:numId w:val="18"/>
        </w:numPr>
        <w:bidi w:val="0"/>
        <w:spacing w:after="0" w:line="240" w:lineRule="auto"/>
        <w:ind w:left="360" w:hanging="270"/>
        <w:contextualSpacing w:val="0"/>
        <w:jc w:val="both"/>
        <w:rPr>
          <w:rFonts w:asciiTheme="majorBidi" w:hAnsiTheme="majorBidi" w:cstheme="majorBidi"/>
          <w:sz w:val="20"/>
          <w:szCs w:val="20"/>
        </w:rPr>
      </w:pPr>
      <w:r w:rsidRPr="00791836">
        <w:rPr>
          <w:rFonts w:asciiTheme="majorBidi" w:hAnsiTheme="majorBidi" w:cstheme="majorBidi"/>
          <w:sz w:val="20"/>
          <w:szCs w:val="20"/>
          <w:lang w:val="nl-NL"/>
        </w:rPr>
        <w:t xml:space="preserve">Li, C., Deng, D., Jiang, Q., Shi, J., Xu, L., &amp; Liu, Y. (2025). </w:t>
      </w:r>
      <w:r w:rsidRPr="00D14553">
        <w:rPr>
          <w:rFonts w:asciiTheme="majorBidi" w:hAnsiTheme="majorBidi" w:cstheme="majorBidi"/>
          <w:sz w:val="20"/>
          <w:szCs w:val="20"/>
        </w:rPr>
        <w:t>Ferroptosis in NAFLD: insights and the therapeutic potential of exercise. </w:t>
      </w:r>
      <w:r w:rsidRPr="00D14553">
        <w:rPr>
          <w:rFonts w:asciiTheme="majorBidi" w:hAnsiTheme="majorBidi" w:cstheme="majorBidi"/>
          <w:i/>
          <w:iCs/>
          <w:sz w:val="20"/>
          <w:szCs w:val="20"/>
        </w:rPr>
        <w:t>Frontiers in Medicine</w:t>
      </w:r>
      <w:r w:rsidRPr="00D14553">
        <w:rPr>
          <w:rFonts w:asciiTheme="majorBidi" w:hAnsiTheme="majorBidi" w:cstheme="majorBidi"/>
          <w:sz w:val="20"/>
          <w:szCs w:val="20"/>
        </w:rPr>
        <w:t>, </w:t>
      </w:r>
      <w:r w:rsidRPr="00D14553">
        <w:rPr>
          <w:rFonts w:asciiTheme="majorBidi" w:hAnsiTheme="majorBidi" w:cstheme="majorBidi"/>
          <w:i/>
          <w:iCs/>
          <w:sz w:val="20"/>
          <w:szCs w:val="20"/>
        </w:rPr>
        <w:t>12</w:t>
      </w:r>
      <w:r w:rsidRPr="00D14553">
        <w:rPr>
          <w:rFonts w:asciiTheme="majorBidi" w:hAnsiTheme="majorBidi" w:cstheme="majorBidi"/>
          <w:sz w:val="20"/>
          <w:szCs w:val="20"/>
        </w:rPr>
        <w:t>, 1462145.</w:t>
      </w:r>
      <w:r w:rsidRPr="00D14553">
        <w:rPr>
          <w:rFonts w:asciiTheme="majorBidi" w:hAnsiTheme="majorBidi" w:cstheme="majorBidi"/>
          <w:sz w:val="20"/>
          <w:szCs w:val="20"/>
          <w:rtl/>
        </w:rPr>
        <w:t>‏</w:t>
      </w:r>
    </w:p>
    <w:p w14:paraId="75E48978" w14:textId="58B0739A" w:rsidR="00F206AC" w:rsidRDefault="00F206AC" w:rsidP="00F206AC">
      <w:pPr>
        <w:pStyle w:val="ListParagraph"/>
        <w:numPr>
          <w:ilvl w:val="0"/>
          <w:numId w:val="18"/>
        </w:numPr>
        <w:bidi w:val="0"/>
        <w:spacing w:after="0" w:line="240" w:lineRule="auto"/>
        <w:ind w:left="360" w:hanging="270"/>
        <w:contextualSpacing w:val="0"/>
        <w:jc w:val="both"/>
        <w:rPr>
          <w:rFonts w:asciiTheme="majorBidi" w:hAnsiTheme="majorBidi" w:cstheme="majorBidi"/>
          <w:sz w:val="20"/>
          <w:szCs w:val="20"/>
        </w:rPr>
      </w:pPr>
      <w:r w:rsidRPr="00F206AC">
        <w:rPr>
          <w:rFonts w:asciiTheme="majorBidi" w:hAnsiTheme="majorBidi" w:cstheme="majorBidi"/>
          <w:sz w:val="20"/>
          <w:szCs w:val="20"/>
        </w:rPr>
        <w:t>Demsie, D. G., Sharma, R. K., Gebrie, D., &amp; Nathiya, D. (2019). Role of Thymosin β4 in Myocardial Infarction: a review. International Journal of Gastroenterology, Hepatology, Transplant and Nutrition, 4(4), 1-5.</w:t>
      </w:r>
      <w:r w:rsidRPr="00F206AC">
        <w:rPr>
          <w:rFonts w:asciiTheme="majorBidi" w:hAnsiTheme="majorBidi" w:cs="Times New Roman"/>
          <w:sz w:val="20"/>
          <w:szCs w:val="20"/>
          <w:rtl/>
        </w:rPr>
        <w:t>‏</w:t>
      </w:r>
    </w:p>
    <w:p w14:paraId="6F7F8491" w14:textId="5AE51D20" w:rsidR="00A67A51" w:rsidRDefault="00A67A51" w:rsidP="00A67A51">
      <w:pPr>
        <w:pStyle w:val="ListParagraph"/>
        <w:numPr>
          <w:ilvl w:val="0"/>
          <w:numId w:val="18"/>
        </w:numPr>
        <w:bidi w:val="0"/>
        <w:spacing w:after="0" w:line="240" w:lineRule="auto"/>
        <w:ind w:left="360" w:hanging="270"/>
        <w:contextualSpacing w:val="0"/>
        <w:jc w:val="both"/>
        <w:rPr>
          <w:rFonts w:asciiTheme="majorBidi" w:hAnsiTheme="majorBidi" w:cstheme="majorBidi"/>
          <w:sz w:val="20"/>
          <w:szCs w:val="20"/>
        </w:rPr>
      </w:pPr>
      <w:r w:rsidRPr="00791836">
        <w:rPr>
          <w:rFonts w:asciiTheme="majorBidi" w:hAnsiTheme="majorBidi" w:cstheme="majorBidi"/>
          <w:sz w:val="20"/>
          <w:szCs w:val="20"/>
          <w:lang w:val="nl-NL"/>
        </w:rPr>
        <w:t xml:space="preserve">Hinkel, R., Klett, K., Bähr, A., &amp; Kupatt, C. (2018). </w:t>
      </w:r>
      <w:r w:rsidRPr="00A67A51">
        <w:rPr>
          <w:rFonts w:asciiTheme="majorBidi" w:hAnsiTheme="majorBidi" w:cstheme="majorBidi"/>
          <w:sz w:val="20"/>
          <w:szCs w:val="20"/>
        </w:rPr>
        <w:t>Thymosin β4-mediated protective effects in the heart. </w:t>
      </w:r>
      <w:r w:rsidRPr="00A67A51">
        <w:rPr>
          <w:rFonts w:asciiTheme="majorBidi" w:hAnsiTheme="majorBidi" w:cstheme="majorBidi"/>
          <w:i/>
          <w:iCs/>
          <w:sz w:val="20"/>
          <w:szCs w:val="20"/>
        </w:rPr>
        <w:t>Expert opinion on biological therapy</w:t>
      </w:r>
      <w:r w:rsidRPr="00A67A51">
        <w:rPr>
          <w:rFonts w:asciiTheme="majorBidi" w:hAnsiTheme="majorBidi" w:cstheme="majorBidi"/>
          <w:sz w:val="20"/>
          <w:szCs w:val="20"/>
        </w:rPr>
        <w:t>, </w:t>
      </w:r>
      <w:r w:rsidRPr="00A67A51">
        <w:rPr>
          <w:rFonts w:asciiTheme="majorBidi" w:hAnsiTheme="majorBidi" w:cstheme="majorBidi"/>
          <w:i/>
          <w:iCs/>
          <w:sz w:val="20"/>
          <w:szCs w:val="20"/>
        </w:rPr>
        <w:t>18</w:t>
      </w:r>
      <w:r w:rsidRPr="00A67A51">
        <w:rPr>
          <w:rFonts w:asciiTheme="majorBidi" w:hAnsiTheme="majorBidi" w:cstheme="majorBidi"/>
          <w:sz w:val="20"/>
          <w:szCs w:val="20"/>
        </w:rPr>
        <w:t>(sup1), 121-129.</w:t>
      </w:r>
      <w:r w:rsidRPr="00A67A51">
        <w:rPr>
          <w:rFonts w:asciiTheme="majorBidi" w:hAnsiTheme="majorBidi" w:cstheme="majorBidi"/>
          <w:sz w:val="20"/>
          <w:szCs w:val="20"/>
          <w:rtl/>
        </w:rPr>
        <w:t>‏</w:t>
      </w:r>
    </w:p>
    <w:p w14:paraId="2E0B6AC0" w14:textId="2CF83AA0" w:rsidR="00A67A51" w:rsidRDefault="00A67A51" w:rsidP="00A67A51">
      <w:pPr>
        <w:pStyle w:val="ListParagraph"/>
        <w:numPr>
          <w:ilvl w:val="0"/>
          <w:numId w:val="18"/>
        </w:numPr>
        <w:bidi w:val="0"/>
        <w:spacing w:after="0" w:line="240" w:lineRule="auto"/>
        <w:ind w:left="360" w:hanging="270"/>
        <w:contextualSpacing w:val="0"/>
        <w:jc w:val="both"/>
        <w:rPr>
          <w:rFonts w:asciiTheme="majorBidi" w:hAnsiTheme="majorBidi" w:cstheme="majorBidi"/>
          <w:sz w:val="20"/>
          <w:szCs w:val="20"/>
        </w:rPr>
      </w:pPr>
      <w:r w:rsidRPr="00791836">
        <w:rPr>
          <w:rFonts w:asciiTheme="majorBidi" w:hAnsiTheme="majorBidi" w:cstheme="majorBidi"/>
          <w:sz w:val="20"/>
          <w:szCs w:val="20"/>
          <w:lang w:val="nl-NL"/>
        </w:rPr>
        <w:t xml:space="preserve">Hinkel, R., Trenkwalder, T., Petersen, B., Husada, W., Gesenhues, F., Lee, S., ... </w:t>
      </w:r>
      <w:r w:rsidRPr="00A67A51">
        <w:rPr>
          <w:rFonts w:asciiTheme="majorBidi" w:hAnsiTheme="majorBidi" w:cstheme="majorBidi"/>
          <w:sz w:val="20"/>
          <w:szCs w:val="20"/>
        </w:rPr>
        <w:t>&amp; Kupatt, C. (2014). MRTF-A controls vessel growth and maturation by increasing the expression of CCN1 and CCN2. </w:t>
      </w:r>
      <w:r w:rsidRPr="00A67A51">
        <w:rPr>
          <w:rFonts w:asciiTheme="majorBidi" w:hAnsiTheme="majorBidi" w:cstheme="majorBidi"/>
          <w:i/>
          <w:iCs/>
          <w:sz w:val="20"/>
          <w:szCs w:val="20"/>
        </w:rPr>
        <w:t xml:space="preserve">Nature </w:t>
      </w:r>
      <w:r w:rsidR="00946D85" w:rsidRPr="00A67A51">
        <w:rPr>
          <w:rFonts w:asciiTheme="majorBidi" w:hAnsiTheme="majorBidi" w:cstheme="majorBidi"/>
          <w:i/>
          <w:iCs/>
          <w:sz w:val="20"/>
          <w:szCs w:val="20"/>
        </w:rPr>
        <w:t>Communications</w:t>
      </w:r>
      <w:r w:rsidRPr="00A67A51">
        <w:rPr>
          <w:rFonts w:asciiTheme="majorBidi" w:hAnsiTheme="majorBidi" w:cstheme="majorBidi"/>
          <w:sz w:val="20"/>
          <w:szCs w:val="20"/>
        </w:rPr>
        <w:t>, </w:t>
      </w:r>
      <w:r w:rsidRPr="00A67A51">
        <w:rPr>
          <w:rFonts w:asciiTheme="majorBidi" w:hAnsiTheme="majorBidi" w:cstheme="majorBidi"/>
          <w:i/>
          <w:iCs/>
          <w:sz w:val="20"/>
          <w:szCs w:val="20"/>
        </w:rPr>
        <w:t>5</w:t>
      </w:r>
      <w:r w:rsidRPr="00A67A51">
        <w:rPr>
          <w:rFonts w:asciiTheme="majorBidi" w:hAnsiTheme="majorBidi" w:cstheme="majorBidi"/>
          <w:sz w:val="20"/>
          <w:szCs w:val="20"/>
        </w:rPr>
        <w:t>(1), 3970.</w:t>
      </w:r>
      <w:r w:rsidRPr="00A67A51">
        <w:rPr>
          <w:rFonts w:asciiTheme="majorBidi" w:hAnsiTheme="majorBidi" w:cstheme="majorBidi"/>
          <w:sz w:val="20"/>
          <w:szCs w:val="20"/>
          <w:rtl/>
        </w:rPr>
        <w:t>‏</w:t>
      </w:r>
    </w:p>
    <w:p w14:paraId="2548BA58" w14:textId="3795DCEA" w:rsidR="009B50E0" w:rsidRPr="001A5200" w:rsidRDefault="009B50E0" w:rsidP="009B50E0">
      <w:pPr>
        <w:pStyle w:val="ListParagraph"/>
        <w:numPr>
          <w:ilvl w:val="0"/>
          <w:numId w:val="18"/>
        </w:numPr>
        <w:bidi w:val="0"/>
        <w:spacing w:after="0" w:line="240" w:lineRule="auto"/>
        <w:ind w:left="360" w:hanging="270"/>
        <w:contextualSpacing w:val="0"/>
        <w:jc w:val="both"/>
        <w:rPr>
          <w:rFonts w:asciiTheme="majorBidi" w:hAnsiTheme="majorBidi" w:cstheme="majorBidi"/>
          <w:sz w:val="20"/>
          <w:szCs w:val="20"/>
        </w:rPr>
      </w:pPr>
      <w:r w:rsidRPr="009B50E0">
        <w:rPr>
          <w:rFonts w:asciiTheme="majorBidi" w:hAnsiTheme="majorBidi" w:cstheme="majorBidi"/>
          <w:sz w:val="20"/>
          <w:szCs w:val="20"/>
        </w:rPr>
        <w:t>Gupta, S., Kumar, S., Sopko, N., Qin, Y., Wei, C., &amp; Kim, I. K. (2012). Thymosin β4 and cardiac protection: implication in inflammation and fibrosis. </w:t>
      </w:r>
      <w:r w:rsidRPr="009B50E0">
        <w:rPr>
          <w:rFonts w:asciiTheme="majorBidi" w:hAnsiTheme="majorBidi" w:cstheme="majorBidi"/>
          <w:i/>
          <w:iCs/>
          <w:sz w:val="20"/>
          <w:szCs w:val="20"/>
        </w:rPr>
        <w:t>Annals of the New York Academy of Sciences</w:t>
      </w:r>
      <w:r w:rsidRPr="009B50E0">
        <w:rPr>
          <w:rFonts w:asciiTheme="majorBidi" w:hAnsiTheme="majorBidi" w:cstheme="majorBidi"/>
          <w:sz w:val="20"/>
          <w:szCs w:val="20"/>
        </w:rPr>
        <w:t>, </w:t>
      </w:r>
      <w:r w:rsidRPr="009B50E0">
        <w:rPr>
          <w:rFonts w:asciiTheme="majorBidi" w:hAnsiTheme="majorBidi" w:cstheme="majorBidi"/>
          <w:i/>
          <w:iCs/>
          <w:sz w:val="20"/>
          <w:szCs w:val="20"/>
        </w:rPr>
        <w:t>1269</w:t>
      </w:r>
      <w:r w:rsidRPr="009B50E0">
        <w:rPr>
          <w:rFonts w:asciiTheme="majorBidi" w:hAnsiTheme="majorBidi" w:cstheme="majorBidi"/>
          <w:sz w:val="20"/>
          <w:szCs w:val="20"/>
        </w:rPr>
        <w:t>(1), 84-91.</w:t>
      </w:r>
      <w:r w:rsidRPr="009B50E0">
        <w:rPr>
          <w:rFonts w:asciiTheme="majorBidi" w:hAnsiTheme="majorBidi" w:cstheme="majorBidi"/>
          <w:sz w:val="20"/>
          <w:szCs w:val="20"/>
          <w:rtl/>
        </w:rPr>
        <w:t>‏</w:t>
      </w:r>
    </w:p>
    <w:sectPr w:rsidR="009B50E0" w:rsidRPr="001A5200" w:rsidSect="00B83D64">
      <w:type w:val="continuous"/>
      <w:pgSz w:w="11909" w:h="16834" w:code="9"/>
      <w:pgMar w:top="1440" w:right="929" w:bottom="1440"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B3387" w14:textId="77777777" w:rsidR="009150C1" w:rsidRDefault="009150C1" w:rsidP="001344BD">
      <w:pPr>
        <w:spacing w:after="0" w:line="240" w:lineRule="auto"/>
      </w:pPr>
      <w:r>
        <w:separator/>
      </w:r>
    </w:p>
  </w:endnote>
  <w:endnote w:type="continuationSeparator" w:id="0">
    <w:p w14:paraId="1D4E6DC3" w14:textId="77777777" w:rsidR="009150C1" w:rsidRDefault="009150C1" w:rsidP="00134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MS Mincho"/>
    <w:charset w:val="80"/>
    <w:family w:val="auto"/>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E9A97" w14:textId="0CFA6914" w:rsidR="000E6E03" w:rsidRPr="000E6E03" w:rsidRDefault="000E6E03" w:rsidP="000E6E03">
    <w:pPr>
      <w:bidi w:val="0"/>
      <w:spacing w:after="0" w:line="259" w:lineRule="auto"/>
      <w:ind w:left="10" w:hanging="10"/>
      <w:jc w:val="right"/>
      <w:rPr>
        <w:rFonts w:ascii="Times New Roman" w:eastAsia="Calibri" w:hAnsi="Times New Roman" w:cs="Times New Roman"/>
        <w:b/>
        <w:bCs/>
        <w:lang w:bidi="ar-EG"/>
      </w:rPr>
    </w:pPr>
    <w:r w:rsidRPr="000E6E03">
      <w:rPr>
        <w:rFonts w:ascii="Times New Roman" w:hAnsi="Times New Roman" w:cs="Times New Roman"/>
        <w:color w:val="000000"/>
        <w:sz w:val="28"/>
      </w:rPr>
      <w:tab/>
    </w:r>
    <w:r w:rsidRPr="000E6E03">
      <w:rPr>
        <w:rFonts w:ascii="Times New Roman" w:eastAsia="Calibri" w:hAnsi="Times New Roman" w:cs="Times New Roman"/>
        <w:b/>
        <w:bCs/>
        <w:sz w:val="20"/>
        <w:szCs w:val="20"/>
      </w:rPr>
      <w:t>Benha Journal of Applied Sciences, Vol. () Issue (*) (202</w:t>
    </w:r>
    <w:r w:rsidR="004967F9">
      <w:rPr>
        <w:rFonts w:ascii="Times New Roman" w:eastAsia="Calibri" w:hAnsi="Times New Roman" w:cs="Times New Roman"/>
        <w:b/>
        <w:bCs/>
        <w:sz w:val="20"/>
        <w:szCs w:val="20"/>
      </w:rPr>
      <w:t>5</w:t>
    </w:r>
    <w:r w:rsidRPr="000E6E03">
      <w:rPr>
        <w:rFonts w:ascii="Times New Roman" w:eastAsia="Calibri" w:hAnsi="Times New Roman" w:cs="Times New Roman"/>
        <w:b/>
        <w:bCs/>
        <w:sz w:val="20"/>
        <w:szCs w:val="20"/>
        <w:rtl/>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E354B" w14:textId="3CC80982" w:rsidR="000E6E03" w:rsidRPr="000E6E03" w:rsidRDefault="000E6E03" w:rsidP="000E6E03">
    <w:pPr>
      <w:bidi w:val="0"/>
      <w:spacing w:after="0" w:line="259" w:lineRule="auto"/>
      <w:ind w:left="10" w:hanging="10"/>
      <w:jc w:val="right"/>
      <w:rPr>
        <w:rFonts w:ascii="Times New Roman" w:eastAsia="Calibri" w:hAnsi="Times New Roman" w:cs="Times New Roman"/>
        <w:b/>
        <w:bCs/>
        <w:lang w:bidi="ar-EG"/>
      </w:rPr>
    </w:pPr>
    <w:r w:rsidRPr="000E6E03">
      <w:rPr>
        <w:rFonts w:ascii="Times New Roman" w:hAnsi="Times New Roman" w:cs="Times New Roman"/>
        <w:color w:val="000000"/>
        <w:sz w:val="28"/>
      </w:rPr>
      <w:tab/>
    </w:r>
    <w:r w:rsidRPr="000E6E03">
      <w:rPr>
        <w:rFonts w:ascii="Times New Roman" w:eastAsia="Calibri" w:hAnsi="Times New Roman" w:cs="Times New Roman"/>
        <w:b/>
        <w:bCs/>
        <w:sz w:val="20"/>
        <w:szCs w:val="20"/>
      </w:rPr>
      <w:t>Benha Journal of Applied Sciences, Vol. () Issue (*) (</w:t>
    </w:r>
    <w:r w:rsidR="00502CCE">
      <w:rPr>
        <w:rFonts w:ascii="Times New Roman" w:eastAsia="Calibri" w:hAnsi="Times New Roman" w:cs="Times New Roman"/>
        <w:b/>
        <w:bCs/>
        <w:sz w:val="20"/>
        <w:szCs w:val="20"/>
      </w:rPr>
      <w:t>2025</w:t>
    </w:r>
    <w:r w:rsidRPr="000E6E03">
      <w:rPr>
        <w:rFonts w:ascii="Times New Roman" w:eastAsia="Calibri" w:hAnsi="Times New Roman" w:cs="Times New Roman"/>
        <w:b/>
        <w:bCs/>
        <w:sz w:val="20"/>
        <w:szCs w:val="20"/>
        <w:rtl/>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4254C" w14:textId="06B62D9E" w:rsidR="000E6E03" w:rsidRPr="000E6E03" w:rsidRDefault="000E6E03" w:rsidP="000E6E03">
    <w:pPr>
      <w:bidi w:val="0"/>
      <w:spacing w:after="0" w:line="259" w:lineRule="auto"/>
      <w:ind w:left="10" w:hanging="10"/>
      <w:jc w:val="right"/>
      <w:rPr>
        <w:rFonts w:ascii="Times New Roman" w:eastAsia="Calibri" w:hAnsi="Times New Roman" w:cs="Times New Roman"/>
        <w:b/>
        <w:bCs/>
        <w:lang w:bidi="ar-EG"/>
      </w:rPr>
    </w:pPr>
    <w:r w:rsidRPr="000E6E03">
      <w:rPr>
        <w:rFonts w:ascii="Times New Roman" w:hAnsi="Times New Roman" w:cs="Times New Roman"/>
        <w:color w:val="000000"/>
        <w:sz w:val="28"/>
      </w:rPr>
      <w:tab/>
    </w:r>
    <w:r w:rsidRPr="000E6E03">
      <w:rPr>
        <w:rFonts w:ascii="Times New Roman" w:eastAsia="Calibri" w:hAnsi="Times New Roman" w:cs="Times New Roman"/>
        <w:b/>
        <w:bCs/>
        <w:sz w:val="20"/>
        <w:szCs w:val="20"/>
      </w:rPr>
      <w:t>Benha Journal of Applied Sciences, Vol. () Issue (*) (202</w:t>
    </w:r>
    <w:r w:rsidR="00B42737">
      <w:rPr>
        <w:rFonts w:ascii="Times New Roman" w:eastAsia="Calibri" w:hAnsi="Times New Roman" w:cs="Times New Roman"/>
        <w:b/>
        <w:bCs/>
        <w:sz w:val="20"/>
        <w:szCs w:val="20"/>
      </w:rPr>
      <w:t>5</w:t>
    </w:r>
    <w:r w:rsidRPr="000E6E03">
      <w:rPr>
        <w:rFonts w:ascii="Times New Roman" w:eastAsia="Calibri" w:hAnsi="Times New Roman" w:cs="Times New Roman"/>
        <w:b/>
        <w:bCs/>
        <w:sz w:val="20"/>
        <w:szCs w:val="20"/>
        <w:rt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28804" w14:textId="77777777" w:rsidR="009150C1" w:rsidRDefault="009150C1" w:rsidP="001344BD">
      <w:pPr>
        <w:spacing w:after="0" w:line="240" w:lineRule="auto"/>
      </w:pPr>
      <w:r>
        <w:separator/>
      </w:r>
    </w:p>
  </w:footnote>
  <w:footnote w:type="continuationSeparator" w:id="0">
    <w:p w14:paraId="2785CD91" w14:textId="77777777" w:rsidR="009150C1" w:rsidRDefault="009150C1" w:rsidP="001344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09337" w14:textId="604C44C3" w:rsidR="000E6E03" w:rsidRPr="000E6E03" w:rsidRDefault="000E6E03" w:rsidP="000E6E03">
    <w:pPr>
      <w:pStyle w:val="Header"/>
      <w:bidi w:val="0"/>
      <w:rPr>
        <w:rFonts w:asciiTheme="majorBidi" w:hAnsiTheme="majorBidi" w:cstheme="majorBidi"/>
        <w:b/>
        <w:bCs/>
        <w:sz w:val="20"/>
        <w:szCs w:val="20"/>
      </w:rPr>
    </w:pPr>
  </w:p>
  <w:p w14:paraId="7A5BF618" w14:textId="77777777" w:rsidR="000E6E03" w:rsidRPr="000E6E03" w:rsidRDefault="000E6E03" w:rsidP="000E6E03">
    <w:pPr>
      <w:pStyle w:val="Header"/>
      <w:bidi w:val="0"/>
      <w:rPr>
        <w:rFonts w:asciiTheme="majorBidi" w:hAnsiTheme="majorBidi" w:cstheme="majorBidi"/>
        <w:b/>
        <w:b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b/>
        <w:bCs/>
        <w:sz w:val="19"/>
        <w:szCs w:val="19"/>
      </w:rPr>
      <w:id w:val="302894861"/>
      <w:docPartObj>
        <w:docPartGallery w:val="Page Numbers (Top of Page)"/>
        <w:docPartUnique/>
      </w:docPartObj>
    </w:sdtPr>
    <w:sdtEndPr>
      <w:rPr>
        <w:noProof/>
      </w:rPr>
    </w:sdtEndPr>
    <w:sdtContent>
      <w:p w14:paraId="244FCFB8" w14:textId="61218D07" w:rsidR="000E6E03" w:rsidRPr="000E6E03" w:rsidRDefault="000E6E03" w:rsidP="000E6E03">
        <w:pPr>
          <w:pStyle w:val="Header"/>
          <w:bidi w:val="0"/>
          <w:rPr>
            <w:rFonts w:asciiTheme="majorBidi" w:hAnsiTheme="majorBidi" w:cstheme="majorBidi"/>
            <w:b/>
            <w:bCs/>
            <w:sz w:val="19"/>
            <w:szCs w:val="19"/>
          </w:rPr>
        </w:pPr>
        <w:r>
          <w:rPr>
            <w:rFonts w:asciiTheme="majorBidi" w:hAnsiTheme="majorBidi" w:cstheme="majorBidi"/>
            <w:b/>
            <w:bCs/>
            <w:sz w:val="19"/>
            <w:szCs w:val="19"/>
          </w:rPr>
          <w:t xml:space="preserve">     </w:t>
        </w:r>
        <w:r w:rsidRPr="000E6E03">
          <w:rPr>
            <w:rFonts w:asciiTheme="majorBidi" w:hAnsiTheme="majorBidi" w:cstheme="majorBidi"/>
            <w:b/>
            <w:bCs/>
            <w:sz w:val="19"/>
            <w:szCs w:val="19"/>
          </w:rPr>
          <w:t xml:space="preserve"> </w:t>
        </w:r>
        <w:r w:rsidRPr="000E6E03">
          <w:rPr>
            <w:rFonts w:asciiTheme="majorBidi" w:hAnsiTheme="majorBidi" w:cstheme="majorBidi"/>
            <w:b/>
            <w:bCs/>
            <w:sz w:val="19"/>
            <w:szCs w:val="19"/>
          </w:rPr>
          <w:fldChar w:fldCharType="begin"/>
        </w:r>
        <w:r w:rsidRPr="000E6E03">
          <w:rPr>
            <w:rFonts w:asciiTheme="majorBidi" w:hAnsiTheme="majorBidi" w:cstheme="majorBidi"/>
            <w:b/>
            <w:bCs/>
            <w:sz w:val="19"/>
            <w:szCs w:val="19"/>
          </w:rPr>
          <w:instrText xml:space="preserve"> PAGE   \* MERGEFORMAT </w:instrText>
        </w:r>
        <w:r w:rsidRPr="000E6E03">
          <w:rPr>
            <w:rFonts w:asciiTheme="majorBidi" w:hAnsiTheme="majorBidi" w:cstheme="majorBidi"/>
            <w:b/>
            <w:bCs/>
            <w:sz w:val="19"/>
            <w:szCs w:val="19"/>
          </w:rPr>
          <w:fldChar w:fldCharType="separate"/>
        </w:r>
        <w:r w:rsidRPr="000E6E03">
          <w:rPr>
            <w:rFonts w:asciiTheme="majorBidi" w:hAnsiTheme="majorBidi" w:cstheme="majorBidi"/>
            <w:b/>
            <w:bCs/>
            <w:noProof/>
            <w:sz w:val="19"/>
            <w:szCs w:val="19"/>
          </w:rPr>
          <w:t>2</w:t>
        </w:r>
        <w:r w:rsidRPr="000E6E03">
          <w:rPr>
            <w:rFonts w:asciiTheme="majorBidi" w:hAnsiTheme="majorBidi" w:cstheme="majorBidi"/>
            <w:b/>
            <w:bCs/>
            <w:noProof/>
            <w:sz w:val="19"/>
            <w:szCs w:val="19"/>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86D34" w14:textId="57395B3A" w:rsidR="000E6E03" w:rsidRPr="000E6E03" w:rsidRDefault="000E6E03" w:rsidP="00934F3C">
    <w:pPr>
      <w:bidi w:val="0"/>
      <w:spacing w:after="0" w:line="240" w:lineRule="auto"/>
      <w:rPr>
        <w:rFonts w:ascii="Times New Roman" w:hAnsi="Times New Roman" w:cs="Times New Roman"/>
        <w:b/>
        <w:bCs/>
        <w:color w:val="000000"/>
        <w:sz w:val="20"/>
        <w:szCs w:val="20"/>
        <w:lang w:eastAsia="ar-SA"/>
      </w:rPr>
    </w:pPr>
    <w:r w:rsidRPr="000E6E03">
      <w:rPr>
        <w:rFonts w:ascii="Times New Roman" w:hAnsi="Times New Roman" w:cs="Times New Roman"/>
        <w:b/>
        <w:bCs/>
        <w:sz w:val="20"/>
        <w:szCs w:val="20"/>
        <w:lang w:eastAsia="ar-SA"/>
      </w:rPr>
      <w:t>Benha Journal of Applied Sciences (BJAS)</w:t>
    </w:r>
    <w:r w:rsidRPr="000E6E03">
      <w:rPr>
        <w:rFonts w:ascii="Times New Roman" w:hAnsi="Times New Roman" w:cs="Times New Roman"/>
        <w:b/>
        <w:bCs/>
        <w:color w:val="000000"/>
        <w:sz w:val="20"/>
        <w:szCs w:val="20"/>
        <w:lang w:eastAsia="ar-SA"/>
      </w:rPr>
      <w:t xml:space="preserve">   </w:t>
    </w:r>
    <w:r w:rsidRPr="000E6E03">
      <w:rPr>
        <w:rFonts w:ascii="Times New Roman" w:hAnsi="Times New Roman" w:cs="Times New Roman" w:hint="cs"/>
        <w:b/>
        <w:bCs/>
        <w:color w:val="000000"/>
        <w:sz w:val="20"/>
        <w:szCs w:val="20"/>
        <w:rtl/>
        <w:lang w:eastAsia="ar-SA"/>
      </w:rPr>
      <w:t xml:space="preserve">      </w:t>
    </w:r>
    <w:r w:rsidRPr="000E6E03">
      <w:rPr>
        <w:rFonts w:ascii="Times New Roman" w:hAnsi="Times New Roman" w:cs="Times New Roman"/>
        <w:b/>
        <w:bCs/>
        <w:color w:val="000000"/>
        <w:sz w:val="20"/>
        <w:szCs w:val="20"/>
        <w:lang w:eastAsia="ar-SA"/>
      </w:rPr>
      <w:t xml:space="preserve">  </w:t>
    </w:r>
    <w:r w:rsidRPr="000E6E03">
      <w:rPr>
        <w:rFonts w:ascii="Times New Roman" w:hAnsi="Times New Roman" w:cs="Times New Roman" w:hint="cs"/>
        <w:b/>
        <w:bCs/>
        <w:color w:val="000000"/>
        <w:sz w:val="20"/>
        <w:szCs w:val="20"/>
        <w:rtl/>
        <w:lang w:eastAsia="ar-SA"/>
      </w:rPr>
      <w:t xml:space="preserve">          </w:t>
    </w:r>
    <w:r w:rsidRPr="000E6E03">
      <w:rPr>
        <w:rFonts w:ascii="Times New Roman" w:hAnsi="Times New Roman" w:cs="Times New Roman"/>
        <w:b/>
        <w:bCs/>
        <w:color w:val="000000"/>
        <w:sz w:val="20"/>
        <w:szCs w:val="20"/>
        <w:lang w:eastAsia="ar-SA"/>
      </w:rPr>
      <w:t xml:space="preserve">            </w:t>
    </w:r>
    <w:r w:rsidRPr="000E6E03">
      <w:rPr>
        <w:rFonts w:ascii="Times New Roman" w:hAnsi="Times New Roman" w:cs="Times New Roman" w:hint="cs"/>
        <w:b/>
        <w:bCs/>
        <w:color w:val="000000"/>
        <w:sz w:val="20"/>
        <w:szCs w:val="20"/>
        <w:rtl/>
        <w:lang w:eastAsia="ar-SA"/>
      </w:rPr>
      <w:t xml:space="preserve">     </w:t>
    </w:r>
    <w:r w:rsidRPr="000E6E03">
      <w:rPr>
        <w:rFonts w:ascii="Times New Roman" w:hAnsi="Times New Roman" w:cs="Times New Roman"/>
        <w:b/>
        <w:bCs/>
        <w:color w:val="000000"/>
        <w:sz w:val="20"/>
        <w:szCs w:val="20"/>
        <w:lang w:eastAsia="ar-SA"/>
      </w:rPr>
      <w:t xml:space="preserve">               </w:t>
    </w:r>
    <w:r w:rsidRPr="000E6E03">
      <w:rPr>
        <w:rFonts w:ascii="Times New Roman" w:hAnsi="Times New Roman" w:cs="Times New Roman" w:hint="cs"/>
        <w:b/>
        <w:bCs/>
        <w:color w:val="000000"/>
        <w:sz w:val="20"/>
        <w:szCs w:val="20"/>
        <w:rtl/>
        <w:lang w:eastAsia="ar-SA"/>
      </w:rPr>
      <w:t xml:space="preserve">       </w:t>
    </w:r>
    <w:r w:rsidRPr="000E6E03">
      <w:rPr>
        <w:rFonts w:ascii="Times New Roman" w:hAnsi="Times New Roman" w:cs="Times New Roman"/>
        <w:b/>
        <w:bCs/>
        <w:color w:val="000000"/>
        <w:sz w:val="20"/>
        <w:szCs w:val="20"/>
        <w:lang w:eastAsia="ar-SA"/>
      </w:rPr>
      <w:t xml:space="preserve">             </w:t>
    </w:r>
    <w:r>
      <w:rPr>
        <w:rFonts w:ascii="Times New Roman" w:hAnsi="Times New Roman" w:cs="Times New Roman"/>
        <w:b/>
        <w:bCs/>
        <w:color w:val="000000"/>
        <w:sz w:val="20"/>
        <w:szCs w:val="20"/>
        <w:lang w:eastAsia="ar-SA"/>
      </w:rPr>
      <w:t xml:space="preserve">         </w:t>
    </w:r>
    <w:r w:rsidRPr="000E6E03">
      <w:rPr>
        <w:rFonts w:ascii="Times New Roman" w:hAnsi="Times New Roman" w:cs="Times New Roman" w:hint="cs"/>
        <w:b/>
        <w:bCs/>
        <w:color w:val="000000"/>
        <w:sz w:val="20"/>
        <w:szCs w:val="20"/>
        <w:rtl/>
        <w:lang w:eastAsia="ar-SA"/>
      </w:rPr>
      <w:t xml:space="preserve"> </w:t>
    </w:r>
    <w:r w:rsidRPr="000E6E03">
      <w:rPr>
        <w:rFonts w:ascii="Times New Roman" w:hAnsi="Times New Roman" w:cs="Times New Roman"/>
        <w:b/>
        <w:bCs/>
        <w:color w:val="000000"/>
        <w:sz w:val="20"/>
        <w:szCs w:val="20"/>
        <w:lang w:eastAsia="ar-SA"/>
      </w:rPr>
      <w:t xml:space="preserve"> print: ISSN </w:t>
    </w:r>
  </w:p>
  <w:p w14:paraId="0762223C" w14:textId="4C07ACE5" w:rsidR="000E6E03" w:rsidRPr="000E6E03" w:rsidRDefault="000E6E03" w:rsidP="000E6E03">
    <w:pPr>
      <w:bidi w:val="0"/>
      <w:spacing w:after="0" w:line="240" w:lineRule="auto"/>
      <w:rPr>
        <w:rFonts w:ascii="Times New Roman" w:hAnsi="Times New Roman" w:cs="Times New Roman"/>
        <w:b/>
        <w:bCs/>
        <w:color w:val="000000"/>
        <w:sz w:val="20"/>
        <w:szCs w:val="20"/>
        <w:lang w:eastAsia="ar-SA"/>
      </w:rPr>
    </w:pPr>
    <w:r w:rsidRPr="000E6E03">
      <w:rPr>
        <w:rFonts w:ascii="Times New Roman" w:hAnsi="Times New Roman" w:cs="Times New Roman"/>
        <w:b/>
        <w:bCs/>
        <w:sz w:val="20"/>
        <w:szCs w:val="20"/>
        <w:lang w:eastAsia="ar-SA" w:bidi="ar-EG"/>
      </w:rPr>
      <w:t>Vol. () Issue (*) (202</w:t>
    </w:r>
    <w:r w:rsidR="00934F3C">
      <w:rPr>
        <w:rFonts w:ascii="Times New Roman" w:hAnsi="Times New Roman" w:cs="Times New Roman" w:hint="cs"/>
        <w:b/>
        <w:bCs/>
        <w:sz w:val="20"/>
        <w:szCs w:val="20"/>
        <w:rtl/>
        <w:lang w:eastAsia="ar-SA" w:bidi="ar-EG"/>
      </w:rPr>
      <w:t>5</w:t>
    </w:r>
    <w:r w:rsidRPr="000E6E03">
      <w:rPr>
        <w:rFonts w:ascii="Times New Roman" w:hAnsi="Times New Roman" w:cs="Times New Roman"/>
        <w:b/>
        <w:bCs/>
        <w:sz w:val="20"/>
        <w:szCs w:val="20"/>
        <w:lang w:eastAsia="ar-SA" w:bidi="ar-EG"/>
      </w:rPr>
      <w:t>), (</w:t>
    </w:r>
    <w:r w:rsidRPr="000E6E03">
      <w:rPr>
        <w:rFonts w:ascii="Times New Roman" w:hAnsi="Times New Roman" w:cs="Times New Roman"/>
        <w:b/>
        <w:bCs/>
        <w:color w:val="000000"/>
        <w:sz w:val="20"/>
        <w:szCs w:val="20"/>
        <w:lang w:eastAsia="ar-SA"/>
      </w:rPr>
      <w:t xml:space="preserve">)    </w:t>
    </w:r>
    <w:r w:rsidRPr="000E6E03">
      <w:rPr>
        <w:rFonts w:ascii="Times New Roman" w:hAnsi="Times New Roman" w:cs="Times New Roman" w:hint="cs"/>
        <w:b/>
        <w:bCs/>
        <w:color w:val="000000"/>
        <w:sz w:val="20"/>
        <w:szCs w:val="20"/>
        <w:rtl/>
        <w:lang w:eastAsia="ar-SA"/>
      </w:rPr>
      <w:t xml:space="preserve"> </w:t>
    </w:r>
    <w:r w:rsidRPr="000E6E03">
      <w:rPr>
        <w:rFonts w:ascii="Times New Roman" w:hAnsi="Times New Roman" w:cs="Times New Roman"/>
        <w:b/>
        <w:bCs/>
        <w:color w:val="000000"/>
        <w:sz w:val="20"/>
        <w:szCs w:val="20"/>
        <w:lang w:eastAsia="ar-SA"/>
      </w:rPr>
      <w:t xml:space="preserve">                              </w:t>
    </w:r>
    <w:r w:rsidRPr="000E6E03">
      <w:rPr>
        <w:rFonts w:ascii="Times New Roman" w:hAnsi="Times New Roman" w:cs="Times New Roman" w:hint="cs"/>
        <w:b/>
        <w:bCs/>
        <w:color w:val="000000"/>
        <w:sz w:val="20"/>
        <w:szCs w:val="20"/>
        <w:rtl/>
        <w:lang w:eastAsia="ar-SA"/>
      </w:rPr>
      <w:t xml:space="preserve">      </w:t>
    </w:r>
    <w:r w:rsidRPr="000E6E03">
      <w:rPr>
        <w:rFonts w:ascii="Times New Roman" w:hAnsi="Times New Roman" w:cs="Times New Roman"/>
        <w:b/>
        <w:bCs/>
        <w:color w:val="000000"/>
        <w:sz w:val="20"/>
        <w:szCs w:val="20"/>
        <w:lang w:eastAsia="ar-SA"/>
      </w:rPr>
      <w:t xml:space="preserve">     </w:t>
    </w:r>
    <w:r w:rsidRPr="000E6E03">
      <w:rPr>
        <w:rFonts w:ascii="Times New Roman" w:hAnsi="Times New Roman" w:cs="Times New Roman" w:hint="cs"/>
        <w:b/>
        <w:bCs/>
        <w:color w:val="000000"/>
        <w:sz w:val="20"/>
        <w:szCs w:val="20"/>
        <w:rtl/>
        <w:lang w:eastAsia="ar-SA"/>
      </w:rPr>
      <w:t xml:space="preserve">  </w:t>
    </w:r>
    <w:r w:rsidRPr="000E6E03">
      <w:rPr>
        <w:rFonts w:ascii="Times New Roman" w:hAnsi="Times New Roman" w:cs="Times New Roman"/>
        <w:b/>
        <w:bCs/>
        <w:color w:val="000000"/>
        <w:sz w:val="20"/>
        <w:szCs w:val="20"/>
        <w:lang w:eastAsia="ar-SA"/>
      </w:rPr>
      <w:t xml:space="preserve">         </w:t>
    </w:r>
    <w:r w:rsidRPr="000E6E03">
      <w:rPr>
        <w:rFonts w:ascii="Times New Roman" w:hAnsi="Times New Roman" w:cs="Times New Roman" w:hint="cs"/>
        <w:b/>
        <w:bCs/>
        <w:color w:val="000000"/>
        <w:sz w:val="20"/>
        <w:szCs w:val="20"/>
        <w:rtl/>
        <w:lang w:eastAsia="ar-SA"/>
      </w:rPr>
      <w:t xml:space="preserve">        </w:t>
    </w:r>
    <w:r w:rsidRPr="000E6E03">
      <w:rPr>
        <w:rFonts w:ascii="Times New Roman" w:hAnsi="Times New Roman" w:cs="Times New Roman"/>
        <w:b/>
        <w:bCs/>
        <w:color w:val="000000"/>
        <w:sz w:val="20"/>
        <w:szCs w:val="20"/>
        <w:lang w:eastAsia="ar-SA"/>
      </w:rPr>
      <w:t xml:space="preserve">    </w:t>
    </w:r>
    <w:r w:rsidRPr="000E6E03">
      <w:rPr>
        <w:rFonts w:ascii="Times New Roman" w:hAnsi="Times New Roman" w:cs="Times New Roman" w:hint="cs"/>
        <w:b/>
        <w:bCs/>
        <w:color w:val="000000"/>
        <w:sz w:val="20"/>
        <w:szCs w:val="20"/>
        <w:rtl/>
        <w:lang w:eastAsia="ar-SA"/>
      </w:rPr>
      <w:t xml:space="preserve"> </w:t>
    </w:r>
    <w:r w:rsidRPr="000E6E03">
      <w:rPr>
        <w:rFonts w:ascii="Times New Roman" w:hAnsi="Times New Roman" w:cs="Times New Roman"/>
        <w:b/>
        <w:bCs/>
        <w:color w:val="000000"/>
        <w:sz w:val="20"/>
        <w:szCs w:val="20"/>
        <w:lang w:eastAsia="ar-SA"/>
      </w:rPr>
      <w:t xml:space="preserve">             </w:t>
    </w:r>
    <w:r w:rsidRPr="000E6E03">
      <w:rPr>
        <w:rFonts w:ascii="Times New Roman" w:hAnsi="Times New Roman" w:cs="Times New Roman" w:hint="cs"/>
        <w:b/>
        <w:bCs/>
        <w:color w:val="000000"/>
        <w:sz w:val="20"/>
        <w:szCs w:val="20"/>
        <w:rtl/>
        <w:lang w:eastAsia="ar-SA"/>
      </w:rPr>
      <w:t xml:space="preserve">      </w:t>
    </w:r>
    <w:r>
      <w:rPr>
        <w:rFonts w:ascii="Times New Roman" w:hAnsi="Times New Roman" w:cs="Times New Roman"/>
        <w:b/>
        <w:bCs/>
        <w:color w:val="000000"/>
        <w:sz w:val="20"/>
        <w:szCs w:val="20"/>
        <w:lang w:eastAsia="ar-SA"/>
      </w:rPr>
      <w:t xml:space="preserve">         </w:t>
    </w:r>
    <w:r w:rsidRPr="000E6E03">
      <w:rPr>
        <w:rFonts w:ascii="Times New Roman" w:hAnsi="Times New Roman" w:cs="Times New Roman"/>
        <w:b/>
        <w:bCs/>
        <w:color w:val="000000"/>
        <w:sz w:val="20"/>
        <w:szCs w:val="20"/>
        <w:lang w:eastAsia="ar-SA"/>
      </w:rPr>
      <w:t xml:space="preserve"> online: ISSN </w:t>
    </w:r>
  </w:p>
  <w:p w14:paraId="5AC81011" w14:textId="77777777" w:rsidR="000E6E03" w:rsidRPr="000E6E03" w:rsidRDefault="000E6E03" w:rsidP="000E6E03">
    <w:pPr>
      <w:tabs>
        <w:tab w:val="center" w:pos="4680"/>
        <w:tab w:val="right" w:pos="9360"/>
      </w:tabs>
      <w:bidi w:val="0"/>
      <w:spacing w:after="0" w:line="240" w:lineRule="auto"/>
      <w:jc w:val="center"/>
      <w:rPr>
        <w:rFonts w:eastAsia="Calibri"/>
      </w:rPr>
    </w:pPr>
    <w:r w:rsidRPr="000E6E03">
      <w:rPr>
        <w:rFonts w:ascii="Times New Roman" w:hAnsi="Times New Roman" w:cs="Times New Roman"/>
        <w:b/>
        <w:bCs/>
        <w:sz w:val="20"/>
        <w:szCs w:val="20"/>
        <w:lang w:bidi="ar-EG"/>
      </w:rPr>
      <w:t>http://bjas.bu.edu.eg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9410F"/>
    <w:multiLevelType w:val="multilevel"/>
    <w:tmpl w:val="DE702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B7768"/>
    <w:multiLevelType w:val="hybridMultilevel"/>
    <w:tmpl w:val="EF0417E4"/>
    <w:lvl w:ilvl="0" w:tplc="E084EC1E">
      <w:start w:val="2"/>
      <w:numFmt w:val="bullet"/>
      <w:lvlText w:val="-"/>
      <w:lvlJc w:val="left"/>
      <w:pPr>
        <w:ind w:left="720" w:hanging="360"/>
      </w:pPr>
      <w:rPr>
        <w:rFonts w:ascii="TimesNewRoman" w:eastAsia="Times New Roman" w:hAnsi="TimesNewRoman"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F6406"/>
    <w:multiLevelType w:val="hybridMultilevel"/>
    <w:tmpl w:val="F2E00AFC"/>
    <w:lvl w:ilvl="0" w:tplc="438247F2">
      <w:start w:val="1"/>
      <w:numFmt w:val="decimal"/>
      <w:lvlText w:val="%1-"/>
      <w:lvlJc w:val="left"/>
      <w:pPr>
        <w:ind w:left="644" w:hanging="360"/>
      </w:pPr>
      <w:rPr>
        <w:rFonts w:asciiTheme="minorHAnsi" w:hAnsiTheme="minorHAnsi" w:cstheme="minorBidi"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17A6B"/>
    <w:multiLevelType w:val="hybridMultilevel"/>
    <w:tmpl w:val="44EC64C8"/>
    <w:lvl w:ilvl="0" w:tplc="9A3A2884">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866FBE"/>
    <w:multiLevelType w:val="multilevel"/>
    <w:tmpl w:val="3CAE7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173972"/>
    <w:multiLevelType w:val="hybridMultilevel"/>
    <w:tmpl w:val="A39C3674"/>
    <w:lvl w:ilvl="0" w:tplc="9A3A28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D12C44"/>
    <w:multiLevelType w:val="multilevel"/>
    <w:tmpl w:val="DE702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3C2ED5"/>
    <w:multiLevelType w:val="hybridMultilevel"/>
    <w:tmpl w:val="A7C0DB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7922DE"/>
    <w:multiLevelType w:val="hybridMultilevel"/>
    <w:tmpl w:val="A66C3148"/>
    <w:lvl w:ilvl="0" w:tplc="438247F2">
      <w:start w:val="1"/>
      <w:numFmt w:val="decimal"/>
      <w:lvlText w:val="%1-"/>
      <w:lvlJc w:val="left"/>
      <w:pPr>
        <w:ind w:left="644" w:hanging="360"/>
      </w:pPr>
      <w:rPr>
        <w:rFonts w:asciiTheme="minorHAnsi" w:hAnsiTheme="minorHAnsi" w:cstheme="minorBidi" w:hint="default"/>
        <w:b/>
        <w:i/>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E4B4DAD"/>
    <w:multiLevelType w:val="hybridMultilevel"/>
    <w:tmpl w:val="762AA2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9307D4"/>
    <w:multiLevelType w:val="hybridMultilevel"/>
    <w:tmpl w:val="1E864216"/>
    <w:lvl w:ilvl="0" w:tplc="0409000F">
      <w:start w:val="1"/>
      <w:numFmt w:val="decimal"/>
      <w:lvlText w:val="%1."/>
      <w:lvlJc w:val="left"/>
      <w:pPr>
        <w:ind w:left="450" w:hanging="360"/>
      </w:pPr>
      <w:rPr>
        <w:rFonts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BC3D6C"/>
    <w:multiLevelType w:val="hybridMultilevel"/>
    <w:tmpl w:val="DEA054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9BD5607"/>
    <w:multiLevelType w:val="hybridMultilevel"/>
    <w:tmpl w:val="07D02DC2"/>
    <w:lvl w:ilvl="0" w:tplc="12CC8F9E">
      <w:start w:val="1"/>
      <w:numFmt w:val="decimal"/>
      <w:lvlText w:val="%1."/>
      <w:lvlJc w:val="left"/>
      <w:pPr>
        <w:ind w:left="643"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987C73"/>
    <w:multiLevelType w:val="hybridMultilevel"/>
    <w:tmpl w:val="A66C3148"/>
    <w:lvl w:ilvl="0" w:tplc="438247F2">
      <w:start w:val="1"/>
      <w:numFmt w:val="decimal"/>
      <w:lvlText w:val="%1-"/>
      <w:lvlJc w:val="left"/>
      <w:pPr>
        <w:ind w:left="644" w:hanging="360"/>
      </w:pPr>
      <w:rPr>
        <w:rFonts w:asciiTheme="minorHAnsi" w:hAnsiTheme="minorHAnsi" w:cstheme="minorBidi" w:hint="default"/>
        <w:b/>
        <w:i/>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48825D48"/>
    <w:multiLevelType w:val="hybridMultilevel"/>
    <w:tmpl w:val="C7B29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177DD8"/>
    <w:multiLevelType w:val="hybridMultilevel"/>
    <w:tmpl w:val="1310A526"/>
    <w:lvl w:ilvl="0" w:tplc="12CC8F9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5045A6"/>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55CD6B4E"/>
    <w:multiLevelType w:val="hybridMultilevel"/>
    <w:tmpl w:val="6F7E8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F25E62"/>
    <w:multiLevelType w:val="multilevel"/>
    <w:tmpl w:val="3790EE74"/>
    <w:lvl w:ilvl="0">
      <w:start w:val="1"/>
      <w:numFmt w:val="bullet"/>
      <w:lvlText w:val=""/>
      <w:lvlJc w:val="left"/>
      <w:pPr>
        <w:ind w:left="360" w:hanging="360"/>
      </w:pPr>
      <w:rPr>
        <w:rFonts w:ascii="Wingdings" w:hAnsi="Wingdings" w:hint="default"/>
      </w:rPr>
    </w:lvl>
    <w:lvl w:ilvl="1">
      <w:start w:val="1"/>
      <w:numFmt w:val="bullet"/>
      <w:lvlText w:val=""/>
      <w:lvlJc w:val="left"/>
      <w:pPr>
        <w:ind w:left="450" w:hanging="360"/>
      </w:pPr>
      <w:rPr>
        <w:rFonts w:ascii="Wingdings" w:hAnsi="Wingdings" w:hint="default"/>
        <w:b w:val="0"/>
        <w:bCs w:val="0"/>
        <w:i w:val="0"/>
        <w:sz w:val="20"/>
        <w:szCs w:val="28"/>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6C9D0B04"/>
    <w:multiLevelType w:val="hybridMultilevel"/>
    <w:tmpl w:val="06EC0982"/>
    <w:lvl w:ilvl="0" w:tplc="4874DDB0">
      <w:start w:val="1"/>
      <w:numFmt w:val="decimal"/>
      <w:lvlText w:val="[%1]"/>
      <w:lvlJc w:val="left"/>
      <w:pPr>
        <w:ind w:left="450" w:hanging="360"/>
      </w:pPr>
      <w:rPr>
        <w:rFonts w:hint="default"/>
        <w:b w:val="0"/>
        <w:b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B595165"/>
    <w:multiLevelType w:val="hybridMultilevel"/>
    <w:tmpl w:val="11648AA0"/>
    <w:lvl w:ilvl="0" w:tplc="FA9A8ABC">
      <w:start w:val="1"/>
      <w:numFmt w:val="decimal"/>
      <w:lvlText w:val="[%1]."/>
      <w:lvlJc w:val="left"/>
      <w:pPr>
        <w:ind w:left="450" w:hanging="360"/>
      </w:pPr>
      <w:rPr>
        <w:rFonts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F7C1139"/>
    <w:multiLevelType w:val="hybridMultilevel"/>
    <w:tmpl w:val="F1EC7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66967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2078412">
    <w:abstractNumId w:val="5"/>
  </w:num>
  <w:num w:numId="3" w16cid:durableId="175114789">
    <w:abstractNumId w:val="3"/>
  </w:num>
  <w:num w:numId="4" w16cid:durableId="1163739718">
    <w:abstractNumId w:val="11"/>
  </w:num>
  <w:num w:numId="5" w16cid:durableId="67846802">
    <w:abstractNumId w:val="9"/>
  </w:num>
  <w:num w:numId="6" w16cid:durableId="546651092">
    <w:abstractNumId w:val="1"/>
  </w:num>
  <w:num w:numId="7" w16cid:durableId="1199049866">
    <w:abstractNumId w:val="14"/>
  </w:num>
  <w:num w:numId="8" w16cid:durableId="836575921">
    <w:abstractNumId w:val="15"/>
  </w:num>
  <w:num w:numId="9" w16cid:durableId="346827877">
    <w:abstractNumId w:val="12"/>
  </w:num>
  <w:num w:numId="10" w16cid:durableId="409231799">
    <w:abstractNumId w:val="18"/>
  </w:num>
  <w:num w:numId="11" w16cid:durableId="1003047275">
    <w:abstractNumId w:val="16"/>
  </w:num>
  <w:num w:numId="12" w16cid:durableId="1355378674">
    <w:abstractNumId w:val="13"/>
  </w:num>
  <w:num w:numId="13" w16cid:durableId="1618639622">
    <w:abstractNumId w:val="8"/>
  </w:num>
  <w:num w:numId="14" w16cid:durableId="1940480239">
    <w:abstractNumId w:val="2"/>
  </w:num>
  <w:num w:numId="15" w16cid:durableId="1469736591">
    <w:abstractNumId w:val="21"/>
  </w:num>
  <w:num w:numId="16" w16cid:durableId="1063142160">
    <w:abstractNumId w:val="20"/>
  </w:num>
  <w:num w:numId="17" w16cid:durableId="883563374">
    <w:abstractNumId w:val="10"/>
  </w:num>
  <w:num w:numId="18" w16cid:durableId="1411001477">
    <w:abstractNumId w:val="19"/>
  </w:num>
  <w:num w:numId="19" w16cid:durableId="846678378">
    <w:abstractNumId w:val="7"/>
  </w:num>
  <w:num w:numId="20" w16cid:durableId="1623729739">
    <w:abstractNumId w:val="17"/>
  </w:num>
  <w:num w:numId="21" w16cid:durableId="1189220353">
    <w:abstractNumId w:val="6"/>
  </w:num>
  <w:num w:numId="22" w16cid:durableId="1191601090">
    <w:abstractNumId w:val="4"/>
  </w:num>
  <w:num w:numId="23" w16cid:durableId="755369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BC0"/>
    <w:rsid w:val="000047FF"/>
    <w:rsid w:val="00013955"/>
    <w:rsid w:val="00013A05"/>
    <w:rsid w:val="00015E52"/>
    <w:rsid w:val="00030DC9"/>
    <w:rsid w:val="0003109F"/>
    <w:rsid w:val="00032434"/>
    <w:rsid w:val="000334EF"/>
    <w:rsid w:val="0003660B"/>
    <w:rsid w:val="00036BF9"/>
    <w:rsid w:val="000613F4"/>
    <w:rsid w:val="00070981"/>
    <w:rsid w:val="000731E3"/>
    <w:rsid w:val="00073285"/>
    <w:rsid w:val="00076C65"/>
    <w:rsid w:val="000802F5"/>
    <w:rsid w:val="000827BF"/>
    <w:rsid w:val="00090D91"/>
    <w:rsid w:val="00090EB4"/>
    <w:rsid w:val="00093B51"/>
    <w:rsid w:val="000957B9"/>
    <w:rsid w:val="0009716C"/>
    <w:rsid w:val="000A11E4"/>
    <w:rsid w:val="000A27F2"/>
    <w:rsid w:val="000B4E55"/>
    <w:rsid w:val="000C090C"/>
    <w:rsid w:val="000C423E"/>
    <w:rsid w:val="000C5C25"/>
    <w:rsid w:val="000C7F76"/>
    <w:rsid w:val="000D1628"/>
    <w:rsid w:val="000D5E2E"/>
    <w:rsid w:val="000D60EB"/>
    <w:rsid w:val="000D7386"/>
    <w:rsid w:val="000D7D3F"/>
    <w:rsid w:val="000E3364"/>
    <w:rsid w:val="000E4CFC"/>
    <w:rsid w:val="000E6E03"/>
    <w:rsid w:val="000E7FF8"/>
    <w:rsid w:val="000F0371"/>
    <w:rsid w:val="000F0C78"/>
    <w:rsid w:val="000F19DD"/>
    <w:rsid w:val="000F6514"/>
    <w:rsid w:val="001121F0"/>
    <w:rsid w:val="001133A1"/>
    <w:rsid w:val="001142A4"/>
    <w:rsid w:val="00114695"/>
    <w:rsid w:val="001172FC"/>
    <w:rsid w:val="00120D82"/>
    <w:rsid w:val="00125E0D"/>
    <w:rsid w:val="001308B0"/>
    <w:rsid w:val="001334BB"/>
    <w:rsid w:val="001344BD"/>
    <w:rsid w:val="00136D70"/>
    <w:rsid w:val="001401CB"/>
    <w:rsid w:val="00146970"/>
    <w:rsid w:val="001470D5"/>
    <w:rsid w:val="00164055"/>
    <w:rsid w:val="00165D00"/>
    <w:rsid w:val="00165E87"/>
    <w:rsid w:val="001747A9"/>
    <w:rsid w:val="001816E9"/>
    <w:rsid w:val="00183F65"/>
    <w:rsid w:val="00184A44"/>
    <w:rsid w:val="00197370"/>
    <w:rsid w:val="001A0712"/>
    <w:rsid w:val="001A5200"/>
    <w:rsid w:val="001A613A"/>
    <w:rsid w:val="001A7F6B"/>
    <w:rsid w:val="001B2EDD"/>
    <w:rsid w:val="001D015F"/>
    <w:rsid w:val="001D3625"/>
    <w:rsid w:val="001D438C"/>
    <w:rsid w:val="002015D5"/>
    <w:rsid w:val="00210D54"/>
    <w:rsid w:val="002129F0"/>
    <w:rsid w:val="00215A93"/>
    <w:rsid w:val="00215C10"/>
    <w:rsid w:val="00225FFA"/>
    <w:rsid w:val="00237639"/>
    <w:rsid w:val="002420FF"/>
    <w:rsid w:val="00251B65"/>
    <w:rsid w:val="00262298"/>
    <w:rsid w:val="0026620E"/>
    <w:rsid w:val="002679A8"/>
    <w:rsid w:val="00270D10"/>
    <w:rsid w:val="0027252C"/>
    <w:rsid w:val="002847C3"/>
    <w:rsid w:val="00290934"/>
    <w:rsid w:val="0029518F"/>
    <w:rsid w:val="00296417"/>
    <w:rsid w:val="002A20E4"/>
    <w:rsid w:val="002A55EF"/>
    <w:rsid w:val="002A56BA"/>
    <w:rsid w:val="002A74E0"/>
    <w:rsid w:val="002B1EFE"/>
    <w:rsid w:val="002B37C9"/>
    <w:rsid w:val="002B464B"/>
    <w:rsid w:val="002B7D0C"/>
    <w:rsid w:val="002D0A0D"/>
    <w:rsid w:val="002D5843"/>
    <w:rsid w:val="002D6684"/>
    <w:rsid w:val="002E06A2"/>
    <w:rsid w:val="002E23B3"/>
    <w:rsid w:val="002E63D8"/>
    <w:rsid w:val="002F460A"/>
    <w:rsid w:val="002F4F25"/>
    <w:rsid w:val="002F56F8"/>
    <w:rsid w:val="00301E19"/>
    <w:rsid w:val="00305479"/>
    <w:rsid w:val="00306CFA"/>
    <w:rsid w:val="003078C0"/>
    <w:rsid w:val="00315CE7"/>
    <w:rsid w:val="00320F57"/>
    <w:rsid w:val="00322B14"/>
    <w:rsid w:val="003261A2"/>
    <w:rsid w:val="00330286"/>
    <w:rsid w:val="00366C36"/>
    <w:rsid w:val="003702C5"/>
    <w:rsid w:val="00373C01"/>
    <w:rsid w:val="00373F39"/>
    <w:rsid w:val="00383449"/>
    <w:rsid w:val="00392884"/>
    <w:rsid w:val="00394875"/>
    <w:rsid w:val="003A2695"/>
    <w:rsid w:val="003A493E"/>
    <w:rsid w:val="003A77EE"/>
    <w:rsid w:val="003B24E3"/>
    <w:rsid w:val="003B461E"/>
    <w:rsid w:val="003B53B9"/>
    <w:rsid w:val="003B6934"/>
    <w:rsid w:val="003B6B75"/>
    <w:rsid w:val="003C3580"/>
    <w:rsid w:val="003C6937"/>
    <w:rsid w:val="003D06DE"/>
    <w:rsid w:val="003D091E"/>
    <w:rsid w:val="003D31F5"/>
    <w:rsid w:val="003D400B"/>
    <w:rsid w:val="003D624C"/>
    <w:rsid w:val="003E6125"/>
    <w:rsid w:val="003F6960"/>
    <w:rsid w:val="003F72B6"/>
    <w:rsid w:val="00402A3B"/>
    <w:rsid w:val="004101B7"/>
    <w:rsid w:val="00421993"/>
    <w:rsid w:val="004246D3"/>
    <w:rsid w:val="004259B8"/>
    <w:rsid w:val="00433250"/>
    <w:rsid w:val="004344C1"/>
    <w:rsid w:val="00437214"/>
    <w:rsid w:val="00444EC0"/>
    <w:rsid w:val="004451E8"/>
    <w:rsid w:val="00446157"/>
    <w:rsid w:val="004507AE"/>
    <w:rsid w:val="00456B7A"/>
    <w:rsid w:val="00461A4D"/>
    <w:rsid w:val="00465261"/>
    <w:rsid w:val="00470228"/>
    <w:rsid w:val="00471663"/>
    <w:rsid w:val="00471A7D"/>
    <w:rsid w:val="00474019"/>
    <w:rsid w:val="00480636"/>
    <w:rsid w:val="0048206F"/>
    <w:rsid w:val="0048381B"/>
    <w:rsid w:val="00484A9F"/>
    <w:rsid w:val="004858E2"/>
    <w:rsid w:val="00486ECA"/>
    <w:rsid w:val="00487291"/>
    <w:rsid w:val="004915EA"/>
    <w:rsid w:val="004953DD"/>
    <w:rsid w:val="00495578"/>
    <w:rsid w:val="00496333"/>
    <w:rsid w:val="004967F9"/>
    <w:rsid w:val="004A4F98"/>
    <w:rsid w:val="004D214A"/>
    <w:rsid w:val="004D25F6"/>
    <w:rsid w:val="004D434B"/>
    <w:rsid w:val="004E126C"/>
    <w:rsid w:val="004E533C"/>
    <w:rsid w:val="004E5C4F"/>
    <w:rsid w:val="00502CCE"/>
    <w:rsid w:val="00504D57"/>
    <w:rsid w:val="00505EA3"/>
    <w:rsid w:val="005124CC"/>
    <w:rsid w:val="005136EB"/>
    <w:rsid w:val="0051486D"/>
    <w:rsid w:val="0053028A"/>
    <w:rsid w:val="00540288"/>
    <w:rsid w:val="00543807"/>
    <w:rsid w:val="00543C8D"/>
    <w:rsid w:val="00544B6A"/>
    <w:rsid w:val="00545155"/>
    <w:rsid w:val="005453BC"/>
    <w:rsid w:val="00550A25"/>
    <w:rsid w:val="00553432"/>
    <w:rsid w:val="00556D23"/>
    <w:rsid w:val="00557803"/>
    <w:rsid w:val="0057003F"/>
    <w:rsid w:val="0057421A"/>
    <w:rsid w:val="00576814"/>
    <w:rsid w:val="00580130"/>
    <w:rsid w:val="00585E1B"/>
    <w:rsid w:val="005906E7"/>
    <w:rsid w:val="005A3599"/>
    <w:rsid w:val="005A4BD3"/>
    <w:rsid w:val="005B14B1"/>
    <w:rsid w:val="005B1CE7"/>
    <w:rsid w:val="005B3823"/>
    <w:rsid w:val="005B60A7"/>
    <w:rsid w:val="005D22C8"/>
    <w:rsid w:val="005D2805"/>
    <w:rsid w:val="005D7704"/>
    <w:rsid w:val="005E77C7"/>
    <w:rsid w:val="005F0BED"/>
    <w:rsid w:val="005F1C09"/>
    <w:rsid w:val="005F29DB"/>
    <w:rsid w:val="005F3EB1"/>
    <w:rsid w:val="00600DF1"/>
    <w:rsid w:val="00603438"/>
    <w:rsid w:val="00603934"/>
    <w:rsid w:val="006127C3"/>
    <w:rsid w:val="00636865"/>
    <w:rsid w:val="00645B4F"/>
    <w:rsid w:val="00650386"/>
    <w:rsid w:val="00662325"/>
    <w:rsid w:val="00670F85"/>
    <w:rsid w:val="00670FA0"/>
    <w:rsid w:val="00683571"/>
    <w:rsid w:val="0069534F"/>
    <w:rsid w:val="006A0AD1"/>
    <w:rsid w:val="006A1027"/>
    <w:rsid w:val="006A1106"/>
    <w:rsid w:val="006A4242"/>
    <w:rsid w:val="006A5B33"/>
    <w:rsid w:val="006B5E5C"/>
    <w:rsid w:val="006C2B9F"/>
    <w:rsid w:val="006C2BB0"/>
    <w:rsid w:val="006C5A6E"/>
    <w:rsid w:val="006D2A16"/>
    <w:rsid w:val="006D6266"/>
    <w:rsid w:val="006E5F6C"/>
    <w:rsid w:val="006E7477"/>
    <w:rsid w:val="006F5947"/>
    <w:rsid w:val="007059D1"/>
    <w:rsid w:val="00707527"/>
    <w:rsid w:val="0071269E"/>
    <w:rsid w:val="00712A0D"/>
    <w:rsid w:val="00715878"/>
    <w:rsid w:val="00735B88"/>
    <w:rsid w:val="00735FF1"/>
    <w:rsid w:val="00742685"/>
    <w:rsid w:val="007430B4"/>
    <w:rsid w:val="00746AEC"/>
    <w:rsid w:val="007528F6"/>
    <w:rsid w:val="00753219"/>
    <w:rsid w:val="0076570B"/>
    <w:rsid w:val="0076626C"/>
    <w:rsid w:val="007662F0"/>
    <w:rsid w:val="00770E67"/>
    <w:rsid w:val="007738E0"/>
    <w:rsid w:val="00773B06"/>
    <w:rsid w:val="0077792D"/>
    <w:rsid w:val="007814FD"/>
    <w:rsid w:val="00785E90"/>
    <w:rsid w:val="00791836"/>
    <w:rsid w:val="007A2FC4"/>
    <w:rsid w:val="007B070E"/>
    <w:rsid w:val="007B0EA2"/>
    <w:rsid w:val="007B2C3E"/>
    <w:rsid w:val="007D0986"/>
    <w:rsid w:val="007E3158"/>
    <w:rsid w:val="007E3C1A"/>
    <w:rsid w:val="007E42DB"/>
    <w:rsid w:val="007F119E"/>
    <w:rsid w:val="007F1225"/>
    <w:rsid w:val="007F42AB"/>
    <w:rsid w:val="00800868"/>
    <w:rsid w:val="008027F6"/>
    <w:rsid w:val="008035C4"/>
    <w:rsid w:val="00803F83"/>
    <w:rsid w:val="008050AD"/>
    <w:rsid w:val="00810BF9"/>
    <w:rsid w:val="00811104"/>
    <w:rsid w:val="00811E3B"/>
    <w:rsid w:val="0081276A"/>
    <w:rsid w:val="0081278B"/>
    <w:rsid w:val="00820D61"/>
    <w:rsid w:val="00822F6D"/>
    <w:rsid w:val="00834327"/>
    <w:rsid w:val="008362EC"/>
    <w:rsid w:val="00836743"/>
    <w:rsid w:val="0083747A"/>
    <w:rsid w:val="008378BF"/>
    <w:rsid w:val="008456C1"/>
    <w:rsid w:val="00856BFF"/>
    <w:rsid w:val="008620FA"/>
    <w:rsid w:val="008630B7"/>
    <w:rsid w:val="00870095"/>
    <w:rsid w:val="00872C4E"/>
    <w:rsid w:val="00873ABC"/>
    <w:rsid w:val="00874B3C"/>
    <w:rsid w:val="00876CFD"/>
    <w:rsid w:val="008840D9"/>
    <w:rsid w:val="00892702"/>
    <w:rsid w:val="008A05AE"/>
    <w:rsid w:val="008A22B5"/>
    <w:rsid w:val="008A7AA2"/>
    <w:rsid w:val="008B2D12"/>
    <w:rsid w:val="008B445D"/>
    <w:rsid w:val="008B4FA9"/>
    <w:rsid w:val="008C299C"/>
    <w:rsid w:val="008C5B72"/>
    <w:rsid w:val="008C794F"/>
    <w:rsid w:val="008D7CDA"/>
    <w:rsid w:val="008E05DD"/>
    <w:rsid w:val="008E2EA1"/>
    <w:rsid w:val="008E319B"/>
    <w:rsid w:val="008F01C5"/>
    <w:rsid w:val="008F34AB"/>
    <w:rsid w:val="00903EF6"/>
    <w:rsid w:val="009047FD"/>
    <w:rsid w:val="00905F2F"/>
    <w:rsid w:val="009060BB"/>
    <w:rsid w:val="0091160B"/>
    <w:rsid w:val="009150C1"/>
    <w:rsid w:val="00915877"/>
    <w:rsid w:val="00917F46"/>
    <w:rsid w:val="00924046"/>
    <w:rsid w:val="0092536E"/>
    <w:rsid w:val="00927C44"/>
    <w:rsid w:val="009301AD"/>
    <w:rsid w:val="009318C5"/>
    <w:rsid w:val="00932101"/>
    <w:rsid w:val="00932C74"/>
    <w:rsid w:val="00933BB9"/>
    <w:rsid w:val="00934E89"/>
    <w:rsid w:val="00934F3C"/>
    <w:rsid w:val="00935507"/>
    <w:rsid w:val="009358A0"/>
    <w:rsid w:val="00942D24"/>
    <w:rsid w:val="0094300E"/>
    <w:rsid w:val="00946D85"/>
    <w:rsid w:val="00953CAC"/>
    <w:rsid w:val="00965387"/>
    <w:rsid w:val="00965747"/>
    <w:rsid w:val="00975497"/>
    <w:rsid w:val="00981F57"/>
    <w:rsid w:val="009830E8"/>
    <w:rsid w:val="009845F2"/>
    <w:rsid w:val="00985C71"/>
    <w:rsid w:val="00993C10"/>
    <w:rsid w:val="00995EDB"/>
    <w:rsid w:val="009A2AA0"/>
    <w:rsid w:val="009A4910"/>
    <w:rsid w:val="009B3D66"/>
    <w:rsid w:val="009B47A7"/>
    <w:rsid w:val="009B50E0"/>
    <w:rsid w:val="009C2837"/>
    <w:rsid w:val="009E162F"/>
    <w:rsid w:val="009E52F0"/>
    <w:rsid w:val="00A17A63"/>
    <w:rsid w:val="00A17E08"/>
    <w:rsid w:val="00A33835"/>
    <w:rsid w:val="00A50FE7"/>
    <w:rsid w:val="00A51499"/>
    <w:rsid w:val="00A51935"/>
    <w:rsid w:val="00A53236"/>
    <w:rsid w:val="00A54AA3"/>
    <w:rsid w:val="00A56BBA"/>
    <w:rsid w:val="00A57E77"/>
    <w:rsid w:val="00A6644F"/>
    <w:rsid w:val="00A67469"/>
    <w:rsid w:val="00A67A51"/>
    <w:rsid w:val="00A73A33"/>
    <w:rsid w:val="00A85057"/>
    <w:rsid w:val="00A923C0"/>
    <w:rsid w:val="00A9331C"/>
    <w:rsid w:val="00A96768"/>
    <w:rsid w:val="00A97ACB"/>
    <w:rsid w:val="00AA140F"/>
    <w:rsid w:val="00AB2076"/>
    <w:rsid w:val="00AB591F"/>
    <w:rsid w:val="00AC04BD"/>
    <w:rsid w:val="00AC6160"/>
    <w:rsid w:val="00AD3B1C"/>
    <w:rsid w:val="00AD6ACC"/>
    <w:rsid w:val="00AD7DD3"/>
    <w:rsid w:val="00AF3AF5"/>
    <w:rsid w:val="00B00DCC"/>
    <w:rsid w:val="00B01465"/>
    <w:rsid w:val="00B02CC0"/>
    <w:rsid w:val="00B04ED4"/>
    <w:rsid w:val="00B15436"/>
    <w:rsid w:val="00B22569"/>
    <w:rsid w:val="00B3057E"/>
    <w:rsid w:val="00B30DEB"/>
    <w:rsid w:val="00B3129B"/>
    <w:rsid w:val="00B36888"/>
    <w:rsid w:val="00B40695"/>
    <w:rsid w:val="00B42737"/>
    <w:rsid w:val="00B42970"/>
    <w:rsid w:val="00B432B9"/>
    <w:rsid w:val="00B46B6D"/>
    <w:rsid w:val="00B522E0"/>
    <w:rsid w:val="00B53768"/>
    <w:rsid w:val="00B57387"/>
    <w:rsid w:val="00B82FF8"/>
    <w:rsid w:val="00B83D64"/>
    <w:rsid w:val="00B872DB"/>
    <w:rsid w:val="00B941EA"/>
    <w:rsid w:val="00B971ED"/>
    <w:rsid w:val="00BA1930"/>
    <w:rsid w:val="00BB7E7A"/>
    <w:rsid w:val="00BC5922"/>
    <w:rsid w:val="00BD2F71"/>
    <w:rsid w:val="00BD4AE9"/>
    <w:rsid w:val="00BD7E34"/>
    <w:rsid w:val="00BE3911"/>
    <w:rsid w:val="00BE447B"/>
    <w:rsid w:val="00BE69D6"/>
    <w:rsid w:val="00BF1034"/>
    <w:rsid w:val="00BF49F2"/>
    <w:rsid w:val="00C01919"/>
    <w:rsid w:val="00C02542"/>
    <w:rsid w:val="00C03992"/>
    <w:rsid w:val="00C06982"/>
    <w:rsid w:val="00C2050C"/>
    <w:rsid w:val="00C21D16"/>
    <w:rsid w:val="00C26C97"/>
    <w:rsid w:val="00C27517"/>
    <w:rsid w:val="00C32549"/>
    <w:rsid w:val="00C407B7"/>
    <w:rsid w:val="00C434F4"/>
    <w:rsid w:val="00C468A8"/>
    <w:rsid w:val="00C601E7"/>
    <w:rsid w:val="00C72EFB"/>
    <w:rsid w:val="00C744C5"/>
    <w:rsid w:val="00C75461"/>
    <w:rsid w:val="00C81544"/>
    <w:rsid w:val="00C81681"/>
    <w:rsid w:val="00C851B5"/>
    <w:rsid w:val="00C90387"/>
    <w:rsid w:val="00C92A08"/>
    <w:rsid w:val="00CA3F0D"/>
    <w:rsid w:val="00CB026A"/>
    <w:rsid w:val="00CB2B6D"/>
    <w:rsid w:val="00CB35CA"/>
    <w:rsid w:val="00CB55A6"/>
    <w:rsid w:val="00CB592D"/>
    <w:rsid w:val="00CC4733"/>
    <w:rsid w:val="00CD013C"/>
    <w:rsid w:val="00CE2259"/>
    <w:rsid w:val="00CE29D3"/>
    <w:rsid w:val="00CE4823"/>
    <w:rsid w:val="00CE5475"/>
    <w:rsid w:val="00CE5AEE"/>
    <w:rsid w:val="00CE68AE"/>
    <w:rsid w:val="00CF3FDD"/>
    <w:rsid w:val="00CF477E"/>
    <w:rsid w:val="00CF549C"/>
    <w:rsid w:val="00D037A6"/>
    <w:rsid w:val="00D0552D"/>
    <w:rsid w:val="00D06E8C"/>
    <w:rsid w:val="00D07C1F"/>
    <w:rsid w:val="00D11D90"/>
    <w:rsid w:val="00D14553"/>
    <w:rsid w:val="00D16969"/>
    <w:rsid w:val="00D176B2"/>
    <w:rsid w:val="00D2049D"/>
    <w:rsid w:val="00D25FC7"/>
    <w:rsid w:val="00D3397C"/>
    <w:rsid w:val="00D44845"/>
    <w:rsid w:val="00D523A7"/>
    <w:rsid w:val="00D52817"/>
    <w:rsid w:val="00D52C7E"/>
    <w:rsid w:val="00D5396F"/>
    <w:rsid w:val="00D60335"/>
    <w:rsid w:val="00D62459"/>
    <w:rsid w:val="00D65590"/>
    <w:rsid w:val="00D70D69"/>
    <w:rsid w:val="00D717C6"/>
    <w:rsid w:val="00D74CA8"/>
    <w:rsid w:val="00D753E0"/>
    <w:rsid w:val="00D81328"/>
    <w:rsid w:val="00D81E3F"/>
    <w:rsid w:val="00D90929"/>
    <w:rsid w:val="00DA3CA6"/>
    <w:rsid w:val="00DC5530"/>
    <w:rsid w:val="00DD02C5"/>
    <w:rsid w:val="00DD5F4C"/>
    <w:rsid w:val="00DD7254"/>
    <w:rsid w:val="00DE38A5"/>
    <w:rsid w:val="00DE3B97"/>
    <w:rsid w:val="00DF1F6A"/>
    <w:rsid w:val="00DF3862"/>
    <w:rsid w:val="00E10FD4"/>
    <w:rsid w:val="00E16071"/>
    <w:rsid w:val="00E16497"/>
    <w:rsid w:val="00E1721D"/>
    <w:rsid w:val="00E25203"/>
    <w:rsid w:val="00E41879"/>
    <w:rsid w:val="00E4498F"/>
    <w:rsid w:val="00E553D1"/>
    <w:rsid w:val="00E5547E"/>
    <w:rsid w:val="00E55606"/>
    <w:rsid w:val="00E60CA5"/>
    <w:rsid w:val="00E61297"/>
    <w:rsid w:val="00E61B26"/>
    <w:rsid w:val="00E63EB3"/>
    <w:rsid w:val="00E64D30"/>
    <w:rsid w:val="00E7793F"/>
    <w:rsid w:val="00E822CF"/>
    <w:rsid w:val="00E82685"/>
    <w:rsid w:val="00E85B72"/>
    <w:rsid w:val="00E9023F"/>
    <w:rsid w:val="00EA5D44"/>
    <w:rsid w:val="00EB0F87"/>
    <w:rsid w:val="00EB11B1"/>
    <w:rsid w:val="00EB20D4"/>
    <w:rsid w:val="00EB3AAB"/>
    <w:rsid w:val="00EB640B"/>
    <w:rsid w:val="00EB672C"/>
    <w:rsid w:val="00EB795A"/>
    <w:rsid w:val="00EC13F2"/>
    <w:rsid w:val="00EC5BB4"/>
    <w:rsid w:val="00ED0243"/>
    <w:rsid w:val="00ED4BA7"/>
    <w:rsid w:val="00EE32BB"/>
    <w:rsid w:val="00EE3BC0"/>
    <w:rsid w:val="00EF266B"/>
    <w:rsid w:val="00EF7563"/>
    <w:rsid w:val="00F0124C"/>
    <w:rsid w:val="00F01510"/>
    <w:rsid w:val="00F10AF5"/>
    <w:rsid w:val="00F126A7"/>
    <w:rsid w:val="00F16F15"/>
    <w:rsid w:val="00F206AC"/>
    <w:rsid w:val="00F2379D"/>
    <w:rsid w:val="00F24E78"/>
    <w:rsid w:val="00F30777"/>
    <w:rsid w:val="00F34DB8"/>
    <w:rsid w:val="00F3732E"/>
    <w:rsid w:val="00F405A3"/>
    <w:rsid w:val="00F4607D"/>
    <w:rsid w:val="00F47AE3"/>
    <w:rsid w:val="00F540FC"/>
    <w:rsid w:val="00F55EA6"/>
    <w:rsid w:val="00F7406E"/>
    <w:rsid w:val="00F8231A"/>
    <w:rsid w:val="00F85440"/>
    <w:rsid w:val="00F94FE1"/>
    <w:rsid w:val="00F96638"/>
    <w:rsid w:val="00FA6470"/>
    <w:rsid w:val="00FA6B31"/>
    <w:rsid w:val="00FA6D88"/>
    <w:rsid w:val="00FB017C"/>
    <w:rsid w:val="00FC1085"/>
    <w:rsid w:val="00FC66D0"/>
    <w:rsid w:val="00FD2C45"/>
    <w:rsid w:val="00FD388A"/>
    <w:rsid w:val="00FD3A4B"/>
    <w:rsid w:val="00FE66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9F9E9"/>
  <w15:docId w15:val="{953DB2B0-8B83-40C6-A52A-F971E4BF8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FF8"/>
    <w:pPr>
      <w:bidi/>
    </w:pPr>
    <w:rPr>
      <w:rFonts w:ascii="Calibri" w:eastAsia="Times New Roman" w:hAnsi="Calibri" w:cs="Arial"/>
    </w:rPr>
  </w:style>
  <w:style w:type="paragraph" w:styleId="Heading1">
    <w:name w:val="heading 1"/>
    <w:basedOn w:val="Normal"/>
    <w:next w:val="Normal"/>
    <w:link w:val="Heading1Char"/>
    <w:uiPriority w:val="9"/>
    <w:qFormat/>
    <w:rsid w:val="00F126A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1A0712"/>
    <w:pPr>
      <w:bidi w:val="0"/>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387"/>
    <w:pPr>
      <w:ind w:left="720"/>
      <w:contextualSpacing/>
    </w:pPr>
  </w:style>
  <w:style w:type="character" w:customStyle="1" w:styleId="fontstyle01">
    <w:name w:val="fontstyle01"/>
    <w:rsid w:val="00CC4733"/>
    <w:rPr>
      <w:rFonts w:ascii="TimesNewRomanPSMT" w:hAnsi="TimesNewRomanPSMT" w:hint="default"/>
      <w:b w:val="0"/>
      <w:bCs w:val="0"/>
      <w:i w:val="0"/>
      <w:iCs w:val="0"/>
      <w:color w:val="000000"/>
      <w:sz w:val="24"/>
      <w:szCs w:val="24"/>
    </w:rPr>
  </w:style>
  <w:style w:type="table" w:customStyle="1" w:styleId="PlainTable11">
    <w:name w:val="Plain Table 11"/>
    <w:basedOn w:val="TableNormal"/>
    <w:next w:val="PlainTable12"/>
    <w:uiPriority w:val="41"/>
    <w:rsid w:val="000D5E2E"/>
    <w:pPr>
      <w:spacing w:after="0" w:line="240" w:lineRule="auto"/>
    </w:pPr>
    <w:rPr>
      <w:rFonts w:ascii="Calibri" w:eastAsia="Times New Roman" w:hAnsi="Calibri" w:cs="Arial"/>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2">
    <w:name w:val="Plain Table 12"/>
    <w:basedOn w:val="TableNormal"/>
    <w:uiPriority w:val="41"/>
    <w:rsid w:val="000D5E2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uiPriority w:val="9"/>
    <w:rsid w:val="001A0712"/>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543C8D"/>
    <w:rPr>
      <w:color w:val="0000FF"/>
      <w:u w:val="single"/>
    </w:rPr>
  </w:style>
  <w:style w:type="character" w:styleId="Strong">
    <w:name w:val="Strong"/>
    <w:basedOn w:val="DefaultParagraphFont"/>
    <w:uiPriority w:val="22"/>
    <w:qFormat/>
    <w:rsid w:val="00E1721D"/>
    <w:rPr>
      <w:b/>
      <w:bCs/>
    </w:rPr>
  </w:style>
  <w:style w:type="paragraph" w:styleId="NormalWeb">
    <w:name w:val="Normal (Web)"/>
    <w:basedOn w:val="Normal"/>
    <w:uiPriority w:val="99"/>
    <w:semiHidden/>
    <w:unhideWhenUsed/>
    <w:rsid w:val="00820D61"/>
    <w:pPr>
      <w:bidi w:val="0"/>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39"/>
    <w:rsid w:val="0093210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126A7"/>
    <w:rPr>
      <w:rFonts w:asciiTheme="majorHAnsi" w:eastAsiaTheme="majorEastAsia" w:hAnsiTheme="majorHAnsi" w:cstheme="majorBidi"/>
      <w:color w:val="365F91" w:themeColor="accent1" w:themeShade="BF"/>
      <w:sz w:val="32"/>
      <w:szCs w:val="32"/>
    </w:rPr>
  </w:style>
  <w:style w:type="paragraph" w:styleId="NoSpacing">
    <w:name w:val="No Spacing"/>
    <w:link w:val="NoSpacingChar"/>
    <w:uiPriority w:val="1"/>
    <w:qFormat/>
    <w:rsid w:val="008A22B5"/>
    <w:pPr>
      <w:bidi/>
      <w:spacing w:after="0" w:line="240" w:lineRule="auto"/>
    </w:pPr>
    <w:rPr>
      <w:rFonts w:eastAsiaTheme="minorEastAsia"/>
    </w:rPr>
  </w:style>
  <w:style w:type="character" w:customStyle="1" w:styleId="NoSpacingChar">
    <w:name w:val="No Spacing Char"/>
    <w:basedOn w:val="DefaultParagraphFont"/>
    <w:link w:val="NoSpacing"/>
    <w:uiPriority w:val="1"/>
    <w:rsid w:val="008A22B5"/>
    <w:rPr>
      <w:rFonts w:eastAsiaTheme="minorEastAsia"/>
    </w:rPr>
  </w:style>
  <w:style w:type="paragraph" w:styleId="BalloonText">
    <w:name w:val="Balloon Text"/>
    <w:basedOn w:val="Normal"/>
    <w:link w:val="BalloonTextChar"/>
    <w:uiPriority w:val="99"/>
    <w:semiHidden/>
    <w:unhideWhenUsed/>
    <w:rsid w:val="008A22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2B5"/>
    <w:rPr>
      <w:rFonts w:ascii="Tahoma" w:eastAsia="Times New Roman" w:hAnsi="Tahoma" w:cs="Tahoma"/>
      <w:sz w:val="16"/>
      <w:szCs w:val="16"/>
    </w:rPr>
  </w:style>
  <w:style w:type="paragraph" w:styleId="Header">
    <w:name w:val="header"/>
    <w:basedOn w:val="Normal"/>
    <w:link w:val="HeaderChar"/>
    <w:uiPriority w:val="99"/>
    <w:unhideWhenUsed/>
    <w:rsid w:val="001344BD"/>
    <w:pPr>
      <w:tabs>
        <w:tab w:val="center" w:pos="4153"/>
        <w:tab w:val="right" w:pos="8306"/>
      </w:tabs>
      <w:spacing w:after="0" w:line="240" w:lineRule="auto"/>
    </w:pPr>
  </w:style>
  <w:style w:type="character" w:customStyle="1" w:styleId="HeaderChar">
    <w:name w:val="Header Char"/>
    <w:basedOn w:val="DefaultParagraphFont"/>
    <w:link w:val="Header"/>
    <w:uiPriority w:val="99"/>
    <w:rsid w:val="001344BD"/>
    <w:rPr>
      <w:rFonts w:ascii="Calibri" w:eastAsia="Times New Roman" w:hAnsi="Calibri" w:cs="Arial"/>
    </w:rPr>
  </w:style>
  <w:style w:type="paragraph" w:styleId="Footer">
    <w:name w:val="footer"/>
    <w:basedOn w:val="Normal"/>
    <w:link w:val="FooterChar"/>
    <w:uiPriority w:val="99"/>
    <w:unhideWhenUsed/>
    <w:rsid w:val="001344BD"/>
    <w:pPr>
      <w:tabs>
        <w:tab w:val="center" w:pos="4153"/>
        <w:tab w:val="right" w:pos="8306"/>
      </w:tabs>
      <w:spacing w:after="0" w:line="240" w:lineRule="auto"/>
    </w:pPr>
  </w:style>
  <w:style w:type="character" w:customStyle="1" w:styleId="FooterChar">
    <w:name w:val="Footer Char"/>
    <w:basedOn w:val="DefaultParagraphFont"/>
    <w:link w:val="Footer"/>
    <w:uiPriority w:val="99"/>
    <w:rsid w:val="001344BD"/>
    <w:rPr>
      <w:rFonts w:ascii="Calibri" w:eastAsia="Times New Roman" w:hAnsi="Calibri" w:cs="Arial"/>
    </w:rPr>
  </w:style>
  <w:style w:type="character" w:styleId="CommentReference">
    <w:name w:val="annotation reference"/>
    <w:basedOn w:val="DefaultParagraphFont"/>
    <w:uiPriority w:val="99"/>
    <w:semiHidden/>
    <w:unhideWhenUsed/>
    <w:rsid w:val="006A4242"/>
    <w:rPr>
      <w:sz w:val="16"/>
      <w:szCs w:val="16"/>
    </w:rPr>
  </w:style>
  <w:style w:type="paragraph" w:styleId="CommentText">
    <w:name w:val="annotation text"/>
    <w:basedOn w:val="Normal"/>
    <w:link w:val="CommentTextChar"/>
    <w:uiPriority w:val="99"/>
    <w:semiHidden/>
    <w:unhideWhenUsed/>
    <w:rsid w:val="006A4242"/>
    <w:pPr>
      <w:spacing w:line="240" w:lineRule="auto"/>
    </w:pPr>
    <w:rPr>
      <w:sz w:val="20"/>
      <w:szCs w:val="20"/>
    </w:rPr>
  </w:style>
  <w:style w:type="character" w:customStyle="1" w:styleId="CommentTextChar">
    <w:name w:val="Comment Text Char"/>
    <w:basedOn w:val="DefaultParagraphFont"/>
    <w:link w:val="CommentText"/>
    <w:uiPriority w:val="99"/>
    <w:semiHidden/>
    <w:rsid w:val="006A4242"/>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sid w:val="006A4242"/>
    <w:rPr>
      <w:b/>
      <w:bCs/>
    </w:rPr>
  </w:style>
  <w:style w:type="character" w:customStyle="1" w:styleId="CommentSubjectChar">
    <w:name w:val="Comment Subject Char"/>
    <w:basedOn w:val="CommentTextChar"/>
    <w:link w:val="CommentSubject"/>
    <w:uiPriority w:val="99"/>
    <w:semiHidden/>
    <w:rsid w:val="006A4242"/>
    <w:rPr>
      <w:rFonts w:ascii="Calibri" w:eastAsia="Times New Roman" w:hAnsi="Calibri" w:cs="Arial"/>
      <w:b/>
      <w:bCs/>
      <w:sz w:val="20"/>
      <w:szCs w:val="20"/>
    </w:rPr>
  </w:style>
  <w:style w:type="character" w:customStyle="1" w:styleId="1">
    <w:name w:val="إشارة لم يتم حلها1"/>
    <w:basedOn w:val="DefaultParagraphFont"/>
    <w:uiPriority w:val="99"/>
    <w:semiHidden/>
    <w:unhideWhenUsed/>
    <w:rsid w:val="00FB017C"/>
    <w:rPr>
      <w:color w:val="605E5C"/>
      <w:shd w:val="clear" w:color="auto" w:fill="E1DFDD"/>
    </w:rPr>
  </w:style>
  <w:style w:type="character" w:styleId="UnresolvedMention">
    <w:name w:val="Unresolved Mention"/>
    <w:basedOn w:val="DefaultParagraphFont"/>
    <w:uiPriority w:val="99"/>
    <w:semiHidden/>
    <w:unhideWhenUsed/>
    <w:rsid w:val="00934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21645">
      <w:bodyDiv w:val="1"/>
      <w:marLeft w:val="0"/>
      <w:marRight w:val="0"/>
      <w:marTop w:val="0"/>
      <w:marBottom w:val="0"/>
      <w:divBdr>
        <w:top w:val="none" w:sz="0" w:space="0" w:color="auto"/>
        <w:left w:val="none" w:sz="0" w:space="0" w:color="auto"/>
        <w:bottom w:val="none" w:sz="0" w:space="0" w:color="auto"/>
        <w:right w:val="none" w:sz="0" w:space="0" w:color="auto"/>
      </w:divBdr>
    </w:div>
    <w:div w:id="182133440">
      <w:bodyDiv w:val="1"/>
      <w:marLeft w:val="0"/>
      <w:marRight w:val="0"/>
      <w:marTop w:val="0"/>
      <w:marBottom w:val="0"/>
      <w:divBdr>
        <w:top w:val="none" w:sz="0" w:space="0" w:color="auto"/>
        <w:left w:val="none" w:sz="0" w:space="0" w:color="auto"/>
        <w:bottom w:val="none" w:sz="0" w:space="0" w:color="auto"/>
        <w:right w:val="none" w:sz="0" w:space="0" w:color="auto"/>
      </w:divBdr>
    </w:div>
    <w:div w:id="262105852">
      <w:bodyDiv w:val="1"/>
      <w:marLeft w:val="0"/>
      <w:marRight w:val="0"/>
      <w:marTop w:val="0"/>
      <w:marBottom w:val="0"/>
      <w:divBdr>
        <w:top w:val="none" w:sz="0" w:space="0" w:color="auto"/>
        <w:left w:val="none" w:sz="0" w:space="0" w:color="auto"/>
        <w:bottom w:val="none" w:sz="0" w:space="0" w:color="auto"/>
        <w:right w:val="none" w:sz="0" w:space="0" w:color="auto"/>
      </w:divBdr>
    </w:div>
    <w:div w:id="344594160">
      <w:bodyDiv w:val="1"/>
      <w:marLeft w:val="0"/>
      <w:marRight w:val="0"/>
      <w:marTop w:val="0"/>
      <w:marBottom w:val="0"/>
      <w:divBdr>
        <w:top w:val="none" w:sz="0" w:space="0" w:color="auto"/>
        <w:left w:val="none" w:sz="0" w:space="0" w:color="auto"/>
        <w:bottom w:val="none" w:sz="0" w:space="0" w:color="auto"/>
        <w:right w:val="none" w:sz="0" w:space="0" w:color="auto"/>
      </w:divBdr>
    </w:div>
    <w:div w:id="514852183">
      <w:bodyDiv w:val="1"/>
      <w:marLeft w:val="0"/>
      <w:marRight w:val="0"/>
      <w:marTop w:val="0"/>
      <w:marBottom w:val="0"/>
      <w:divBdr>
        <w:top w:val="none" w:sz="0" w:space="0" w:color="auto"/>
        <w:left w:val="none" w:sz="0" w:space="0" w:color="auto"/>
        <w:bottom w:val="none" w:sz="0" w:space="0" w:color="auto"/>
        <w:right w:val="none" w:sz="0" w:space="0" w:color="auto"/>
      </w:divBdr>
    </w:div>
    <w:div w:id="540283523">
      <w:bodyDiv w:val="1"/>
      <w:marLeft w:val="0"/>
      <w:marRight w:val="0"/>
      <w:marTop w:val="0"/>
      <w:marBottom w:val="0"/>
      <w:divBdr>
        <w:top w:val="none" w:sz="0" w:space="0" w:color="auto"/>
        <w:left w:val="none" w:sz="0" w:space="0" w:color="auto"/>
        <w:bottom w:val="none" w:sz="0" w:space="0" w:color="auto"/>
        <w:right w:val="none" w:sz="0" w:space="0" w:color="auto"/>
      </w:divBdr>
      <w:divsChild>
        <w:div w:id="1822041855">
          <w:marLeft w:val="0"/>
          <w:marRight w:val="0"/>
          <w:marTop w:val="0"/>
          <w:marBottom w:val="0"/>
          <w:divBdr>
            <w:top w:val="none" w:sz="0" w:space="0" w:color="auto"/>
            <w:left w:val="none" w:sz="0" w:space="0" w:color="auto"/>
            <w:bottom w:val="none" w:sz="0" w:space="0" w:color="auto"/>
            <w:right w:val="none" w:sz="0" w:space="0" w:color="auto"/>
          </w:divBdr>
        </w:div>
      </w:divsChild>
    </w:div>
    <w:div w:id="566889923">
      <w:bodyDiv w:val="1"/>
      <w:marLeft w:val="0"/>
      <w:marRight w:val="0"/>
      <w:marTop w:val="0"/>
      <w:marBottom w:val="0"/>
      <w:divBdr>
        <w:top w:val="none" w:sz="0" w:space="0" w:color="auto"/>
        <w:left w:val="none" w:sz="0" w:space="0" w:color="auto"/>
        <w:bottom w:val="none" w:sz="0" w:space="0" w:color="auto"/>
        <w:right w:val="none" w:sz="0" w:space="0" w:color="auto"/>
      </w:divBdr>
    </w:div>
    <w:div w:id="641346465">
      <w:bodyDiv w:val="1"/>
      <w:marLeft w:val="0"/>
      <w:marRight w:val="0"/>
      <w:marTop w:val="0"/>
      <w:marBottom w:val="0"/>
      <w:divBdr>
        <w:top w:val="none" w:sz="0" w:space="0" w:color="auto"/>
        <w:left w:val="none" w:sz="0" w:space="0" w:color="auto"/>
        <w:bottom w:val="none" w:sz="0" w:space="0" w:color="auto"/>
        <w:right w:val="none" w:sz="0" w:space="0" w:color="auto"/>
      </w:divBdr>
    </w:div>
    <w:div w:id="669526242">
      <w:bodyDiv w:val="1"/>
      <w:marLeft w:val="0"/>
      <w:marRight w:val="0"/>
      <w:marTop w:val="0"/>
      <w:marBottom w:val="0"/>
      <w:divBdr>
        <w:top w:val="none" w:sz="0" w:space="0" w:color="auto"/>
        <w:left w:val="none" w:sz="0" w:space="0" w:color="auto"/>
        <w:bottom w:val="none" w:sz="0" w:space="0" w:color="auto"/>
        <w:right w:val="none" w:sz="0" w:space="0" w:color="auto"/>
      </w:divBdr>
    </w:div>
    <w:div w:id="741176609">
      <w:bodyDiv w:val="1"/>
      <w:marLeft w:val="0"/>
      <w:marRight w:val="0"/>
      <w:marTop w:val="0"/>
      <w:marBottom w:val="0"/>
      <w:divBdr>
        <w:top w:val="none" w:sz="0" w:space="0" w:color="auto"/>
        <w:left w:val="none" w:sz="0" w:space="0" w:color="auto"/>
        <w:bottom w:val="none" w:sz="0" w:space="0" w:color="auto"/>
        <w:right w:val="none" w:sz="0" w:space="0" w:color="auto"/>
      </w:divBdr>
    </w:div>
    <w:div w:id="819032604">
      <w:bodyDiv w:val="1"/>
      <w:marLeft w:val="0"/>
      <w:marRight w:val="0"/>
      <w:marTop w:val="0"/>
      <w:marBottom w:val="0"/>
      <w:divBdr>
        <w:top w:val="none" w:sz="0" w:space="0" w:color="auto"/>
        <w:left w:val="none" w:sz="0" w:space="0" w:color="auto"/>
        <w:bottom w:val="none" w:sz="0" w:space="0" w:color="auto"/>
        <w:right w:val="none" w:sz="0" w:space="0" w:color="auto"/>
      </w:divBdr>
    </w:div>
    <w:div w:id="839079222">
      <w:bodyDiv w:val="1"/>
      <w:marLeft w:val="0"/>
      <w:marRight w:val="0"/>
      <w:marTop w:val="0"/>
      <w:marBottom w:val="0"/>
      <w:divBdr>
        <w:top w:val="none" w:sz="0" w:space="0" w:color="auto"/>
        <w:left w:val="none" w:sz="0" w:space="0" w:color="auto"/>
        <w:bottom w:val="none" w:sz="0" w:space="0" w:color="auto"/>
        <w:right w:val="none" w:sz="0" w:space="0" w:color="auto"/>
      </w:divBdr>
    </w:div>
    <w:div w:id="972247329">
      <w:bodyDiv w:val="1"/>
      <w:marLeft w:val="0"/>
      <w:marRight w:val="0"/>
      <w:marTop w:val="0"/>
      <w:marBottom w:val="0"/>
      <w:divBdr>
        <w:top w:val="none" w:sz="0" w:space="0" w:color="auto"/>
        <w:left w:val="none" w:sz="0" w:space="0" w:color="auto"/>
        <w:bottom w:val="none" w:sz="0" w:space="0" w:color="auto"/>
        <w:right w:val="none" w:sz="0" w:space="0" w:color="auto"/>
      </w:divBdr>
    </w:div>
    <w:div w:id="1228952995">
      <w:bodyDiv w:val="1"/>
      <w:marLeft w:val="0"/>
      <w:marRight w:val="0"/>
      <w:marTop w:val="0"/>
      <w:marBottom w:val="0"/>
      <w:divBdr>
        <w:top w:val="none" w:sz="0" w:space="0" w:color="auto"/>
        <w:left w:val="none" w:sz="0" w:space="0" w:color="auto"/>
        <w:bottom w:val="none" w:sz="0" w:space="0" w:color="auto"/>
        <w:right w:val="none" w:sz="0" w:space="0" w:color="auto"/>
      </w:divBdr>
    </w:div>
    <w:div w:id="1474517149">
      <w:bodyDiv w:val="1"/>
      <w:marLeft w:val="0"/>
      <w:marRight w:val="0"/>
      <w:marTop w:val="0"/>
      <w:marBottom w:val="0"/>
      <w:divBdr>
        <w:top w:val="none" w:sz="0" w:space="0" w:color="auto"/>
        <w:left w:val="none" w:sz="0" w:space="0" w:color="auto"/>
        <w:bottom w:val="none" w:sz="0" w:space="0" w:color="auto"/>
        <w:right w:val="none" w:sz="0" w:space="0" w:color="auto"/>
      </w:divBdr>
      <w:divsChild>
        <w:div w:id="1765414029">
          <w:marLeft w:val="0"/>
          <w:marRight w:val="0"/>
          <w:marTop w:val="0"/>
          <w:marBottom w:val="0"/>
          <w:divBdr>
            <w:top w:val="none" w:sz="0" w:space="0" w:color="auto"/>
            <w:left w:val="none" w:sz="0" w:space="0" w:color="auto"/>
            <w:bottom w:val="none" w:sz="0" w:space="0" w:color="auto"/>
            <w:right w:val="none" w:sz="0" w:space="0" w:color="auto"/>
          </w:divBdr>
          <w:divsChild>
            <w:div w:id="1506899539">
              <w:marLeft w:val="0"/>
              <w:marRight w:val="0"/>
              <w:marTop w:val="0"/>
              <w:marBottom w:val="0"/>
              <w:divBdr>
                <w:top w:val="none" w:sz="0" w:space="0" w:color="auto"/>
                <w:left w:val="none" w:sz="0" w:space="0" w:color="auto"/>
                <w:bottom w:val="none" w:sz="0" w:space="0" w:color="auto"/>
                <w:right w:val="none" w:sz="0" w:space="0" w:color="auto"/>
              </w:divBdr>
            </w:div>
          </w:divsChild>
        </w:div>
        <w:div w:id="1613513758">
          <w:marLeft w:val="0"/>
          <w:marRight w:val="0"/>
          <w:marTop w:val="0"/>
          <w:marBottom w:val="0"/>
          <w:divBdr>
            <w:top w:val="none" w:sz="0" w:space="0" w:color="auto"/>
            <w:left w:val="none" w:sz="0" w:space="0" w:color="auto"/>
            <w:bottom w:val="none" w:sz="0" w:space="0" w:color="auto"/>
            <w:right w:val="none" w:sz="0" w:space="0" w:color="auto"/>
          </w:divBdr>
        </w:div>
      </w:divsChild>
    </w:div>
    <w:div w:id="1560895874">
      <w:bodyDiv w:val="1"/>
      <w:marLeft w:val="0"/>
      <w:marRight w:val="0"/>
      <w:marTop w:val="0"/>
      <w:marBottom w:val="0"/>
      <w:divBdr>
        <w:top w:val="none" w:sz="0" w:space="0" w:color="auto"/>
        <w:left w:val="none" w:sz="0" w:space="0" w:color="auto"/>
        <w:bottom w:val="none" w:sz="0" w:space="0" w:color="auto"/>
        <w:right w:val="none" w:sz="0" w:space="0" w:color="auto"/>
      </w:divBdr>
    </w:div>
    <w:div w:id="1560944370">
      <w:bodyDiv w:val="1"/>
      <w:marLeft w:val="0"/>
      <w:marRight w:val="0"/>
      <w:marTop w:val="0"/>
      <w:marBottom w:val="0"/>
      <w:divBdr>
        <w:top w:val="none" w:sz="0" w:space="0" w:color="auto"/>
        <w:left w:val="none" w:sz="0" w:space="0" w:color="auto"/>
        <w:bottom w:val="none" w:sz="0" w:space="0" w:color="auto"/>
        <w:right w:val="none" w:sz="0" w:space="0" w:color="auto"/>
      </w:divBdr>
    </w:div>
    <w:div w:id="1621375809">
      <w:bodyDiv w:val="1"/>
      <w:marLeft w:val="0"/>
      <w:marRight w:val="0"/>
      <w:marTop w:val="0"/>
      <w:marBottom w:val="0"/>
      <w:divBdr>
        <w:top w:val="none" w:sz="0" w:space="0" w:color="auto"/>
        <w:left w:val="none" w:sz="0" w:space="0" w:color="auto"/>
        <w:bottom w:val="none" w:sz="0" w:space="0" w:color="auto"/>
        <w:right w:val="none" w:sz="0" w:space="0" w:color="auto"/>
      </w:divBdr>
    </w:div>
    <w:div w:id="1628048988">
      <w:bodyDiv w:val="1"/>
      <w:marLeft w:val="0"/>
      <w:marRight w:val="0"/>
      <w:marTop w:val="0"/>
      <w:marBottom w:val="0"/>
      <w:divBdr>
        <w:top w:val="none" w:sz="0" w:space="0" w:color="auto"/>
        <w:left w:val="none" w:sz="0" w:space="0" w:color="auto"/>
        <w:bottom w:val="none" w:sz="0" w:space="0" w:color="auto"/>
        <w:right w:val="none" w:sz="0" w:space="0" w:color="auto"/>
      </w:divBdr>
    </w:div>
    <w:div w:id="1774741459">
      <w:bodyDiv w:val="1"/>
      <w:marLeft w:val="0"/>
      <w:marRight w:val="0"/>
      <w:marTop w:val="0"/>
      <w:marBottom w:val="0"/>
      <w:divBdr>
        <w:top w:val="none" w:sz="0" w:space="0" w:color="auto"/>
        <w:left w:val="none" w:sz="0" w:space="0" w:color="auto"/>
        <w:bottom w:val="none" w:sz="0" w:space="0" w:color="auto"/>
        <w:right w:val="none" w:sz="0" w:space="0" w:color="auto"/>
      </w:divBdr>
    </w:div>
    <w:div w:id="1964647898">
      <w:bodyDiv w:val="1"/>
      <w:marLeft w:val="0"/>
      <w:marRight w:val="0"/>
      <w:marTop w:val="0"/>
      <w:marBottom w:val="0"/>
      <w:divBdr>
        <w:top w:val="none" w:sz="0" w:space="0" w:color="auto"/>
        <w:left w:val="none" w:sz="0" w:space="0" w:color="auto"/>
        <w:bottom w:val="none" w:sz="0" w:space="0" w:color="auto"/>
        <w:right w:val="none" w:sz="0" w:space="0" w:color="auto"/>
      </w:divBdr>
      <w:divsChild>
        <w:div w:id="1110971202">
          <w:marLeft w:val="0"/>
          <w:marRight w:val="0"/>
          <w:marTop w:val="0"/>
          <w:marBottom w:val="0"/>
          <w:divBdr>
            <w:top w:val="none" w:sz="0" w:space="0" w:color="auto"/>
            <w:left w:val="none" w:sz="0" w:space="0" w:color="auto"/>
            <w:bottom w:val="none" w:sz="0" w:space="0" w:color="auto"/>
            <w:right w:val="none" w:sz="0" w:space="0" w:color="auto"/>
          </w:divBdr>
          <w:divsChild>
            <w:div w:id="1905946920">
              <w:marLeft w:val="0"/>
              <w:marRight w:val="0"/>
              <w:marTop w:val="0"/>
              <w:marBottom w:val="0"/>
              <w:divBdr>
                <w:top w:val="none" w:sz="0" w:space="0" w:color="auto"/>
                <w:left w:val="none" w:sz="0" w:space="0" w:color="auto"/>
                <w:bottom w:val="none" w:sz="0" w:space="0" w:color="auto"/>
                <w:right w:val="none" w:sz="0" w:space="0" w:color="auto"/>
              </w:divBdr>
            </w:div>
          </w:divsChild>
        </w:div>
        <w:div w:id="1410931630">
          <w:marLeft w:val="0"/>
          <w:marRight w:val="0"/>
          <w:marTop w:val="0"/>
          <w:marBottom w:val="0"/>
          <w:divBdr>
            <w:top w:val="none" w:sz="0" w:space="0" w:color="auto"/>
            <w:left w:val="none" w:sz="0" w:space="0" w:color="auto"/>
            <w:bottom w:val="none" w:sz="0" w:space="0" w:color="auto"/>
            <w:right w:val="none" w:sz="0" w:space="0" w:color="auto"/>
          </w:divBdr>
        </w:div>
      </w:divsChild>
    </w:div>
    <w:div w:id="1980528421">
      <w:bodyDiv w:val="1"/>
      <w:marLeft w:val="0"/>
      <w:marRight w:val="0"/>
      <w:marTop w:val="0"/>
      <w:marBottom w:val="0"/>
      <w:divBdr>
        <w:top w:val="none" w:sz="0" w:space="0" w:color="auto"/>
        <w:left w:val="none" w:sz="0" w:space="0" w:color="auto"/>
        <w:bottom w:val="none" w:sz="0" w:space="0" w:color="auto"/>
        <w:right w:val="none" w:sz="0" w:space="0" w:color="auto"/>
      </w:divBdr>
    </w:div>
    <w:div w:id="2059670022">
      <w:bodyDiv w:val="1"/>
      <w:marLeft w:val="0"/>
      <w:marRight w:val="0"/>
      <w:marTop w:val="0"/>
      <w:marBottom w:val="0"/>
      <w:divBdr>
        <w:top w:val="none" w:sz="0" w:space="0" w:color="auto"/>
        <w:left w:val="none" w:sz="0" w:space="0" w:color="auto"/>
        <w:bottom w:val="none" w:sz="0" w:space="0" w:color="auto"/>
        <w:right w:val="none" w:sz="0" w:space="0" w:color="auto"/>
      </w:divBdr>
      <w:divsChild>
        <w:div w:id="1617063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mdpi.com/1422-0067/16/5/10624"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mdpi.com/1422-0067/16/5/10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5F77172-DE9A-4384-839B-AC61B06AC1C9}">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42D3F-FF45-40F4-BF74-AD3C0A2E9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4</Pages>
  <Words>3642</Words>
  <Characters>21346</Characters>
  <Application>Microsoft Office Word</Application>
  <DocSecurity>0</DocSecurity>
  <Lines>667</Lines>
  <Paragraphs>283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reem safwat</dc:creator>
  <cp:lastModifiedBy>reem safwat</cp:lastModifiedBy>
  <cp:revision>13</cp:revision>
  <cp:lastPrinted>2024-03-20T08:58:00Z</cp:lastPrinted>
  <dcterms:created xsi:type="dcterms:W3CDTF">2025-05-24T19:36:00Z</dcterms:created>
  <dcterms:modified xsi:type="dcterms:W3CDTF">2025-05-24T21:33:00Z</dcterms:modified>
</cp:coreProperties>
</file>